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Times New Roman" w:hAnsi="Times New Roman" w:eastAsia="黑体" w:cs="仿宋_GB2312"/>
          <w:color w:val="000000"/>
          <w:kern w:val="0"/>
          <w:sz w:val="32"/>
          <w:szCs w:val="32"/>
        </w:rPr>
      </w:pPr>
      <w:r>
        <w:rPr>
          <w:rFonts w:hint="eastAsia" w:ascii="Times New Roman" w:hAnsi="Times New Roman" w:eastAsia="黑体" w:cs="仿宋_GB2312"/>
          <w:color w:val="000000"/>
          <w:kern w:val="0"/>
          <w:sz w:val="32"/>
          <w:szCs w:val="32"/>
        </w:rPr>
        <w:t>附件</w:t>
      </w:r>
    </w:p>
    <w:p>
      <w:pPr>
        <w:spacing w:line="560" w:lineRule="exact"/>
        <w:jc w:val="left"/>
        <w:rPr>
          <w:rFonts w:hint="eastAsia" w:ascii="Times New Roman" w:hAnsi="Times New Roman" w:eastAsia="仿宋" w:cs="仿宋_GB2312"/>
          <w:color w:val="000000"/>
          <w:kern w:val="0"/>
          <w:sz w:val="32"/>
          <w:szCs w:val="32"/>
        </w:rPr>
      </w:pPr>
    </w:p>
    <w:p>
      <w:pPr>
        <w:spacing w:line="560" w:lineRule="exact"/>
        <w:jc w:val="center"/>
        <w:rPr>
          <w:rFonts w:hint="eastAsia" w:ascii="Times New Roman" w:hAnsi="Times New Roman" w:eastAsia="仿宋" w:cs="仿宋_GB2312"/>
          <w:color w:val="000000"/>
          <w:kern w:val="0"/>
          <w:sz w:val="44"/>
          <w:szCs w:val="44"/>
        </w:rPr>
      </w:pPr>
      <w:r>
        <w:rPr>
          <w:rFonts w:hint="eastAsia" w:ascii="Times New Roman" w:hAnsi="Times New Roman" w:eastAsia="方正小标宋简体" w:cs="宋体"/>
          <w:bCs/>
          <w:kern w:val="0"/>
          <w:sz w:val="44"/>
          <w:szCs w:val="44"/>
        </w:rPr>
        <w:t>灌云县基本养老服务指导性目录</w:t>
      </w:r>
    </w:p>
    <w:p>
      <w:pPr>
        <w:spacing w:line="560" w:lineRule="exact"/>
        <w:jc w:val="center"/>
        <w:rPr>
          <w:rFonts w:hint="eastAsia" w:ascii="Times New Roman" w:hAnsi="Times New Roman" w:eastAsia="仿宋" w:cs="仿宋_GB2312"/>
          <w:color w:val="000000"/>
          <w:kern w:val="0"/>
          <w:sz w:val="32"/>
          <w:szCs w:val="32"/>
        </w:rPr>
      </w:pPr>
    </w:p>
    <w:tbl>
      <w:tblPr>
        <w:tblStyle w:val="12"/>
        <w:tblW w:w="14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724"/>
        <w:gridCol w:w="896"/>
        <w:gridCol w:w="2775"/>
        <w:gridCol w:w="2163"/>
        <w:gridCol w:w="2459"/>
        <w:gridCol w:w="1005"/>
        <w:gridCol w:w="2595"/>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blHeader/>
          <w:jc w:val="center"/>
        </w:trPr>
        <w:tc>
          <w:tcPr>
            <w:tcW w:w="679"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序号</w:t>
            </w:r>
          </w:p>
        </w:tc>
        <w:tc>
          <w:tcPr>
            <w:tcW w:w="724"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类别</w:t>
            </w:r>
          </w:p>
        </w:tc>
        <w:tc>
          <w:tcPr>
            <w:tcW w:w="896"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服务项目</w:t>
            </w:r>
          </w:p>
        </w:tc>
        <w:tc>
          <w:tcPr>
            <w:tcW w:w="2775"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服务对象</w:t>
            </w:r>
          </w:p>
        </w:tc>
        <w:tc>
          <w:tcPr>
            <w:tcW w:w="2163"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服务内容及标准</w:t>
            </w:r>
          </w:p>
        </w:tc>
        <w:tc>
          <w:tcPr>
            <w:tcW w:w="2459"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办理程序</w:t>
            </w:r>
          </w:p>
        </w:tc>
        <w:tc>
          <w:tcPr>
            <w:tcW w:w="1005"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资金来源</w:t>
            </w:r>
          </w:p>
        </w:tc>
        <w:tc>
          <w:tcPr>
            <w:tcW w:w="2595" w:type="dxa"/>
            <w:tcMar>
              <w:left w:w="57" w:type="dxa"/>
              <w:right w:w="57" w:type="dxa"/>
            </w:tcMar>
            <w:vAlign w:val="center"/>
          </w:tcPr>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政策依据</w:t>
            </w:r>
          </w:p>
        </w:tc>
        <w:tc>
          <w:tcPr>
            <w:tcW w:w="1180" w:type="dxa"/>
            <w:tcMar>
              <w:left w:w="57" w:type="dxa"/>
              <w:right w:w="57" w:type="dxa"/>
            </w:tcMar>
            <w:vAlign w:val="center"/>
          </w:tcPr>
          <w:p>
            <w:pPr>
              <w:widowControl/>
              <w:snapToGrid w:val="0"/>
              <w:jc w:val="center"/>
              <w:rPr>
                <w:rFonts w:hint="eastAsia" w:ascii="Times New Roman" w:hAnsi="Times New Roman" w:eastAsia="黑体" w:cs="宋体"/>
                <w:kern w:val="0"/>
                <w:sz w:val="18"/>
                <w:szCs w:val="18"/>
              </w:rPr>
            </w:pPr>
            <w:r>
              <w:rPr>
                <w:rFonts w:hint="eastAsia" w:ascii="Times New Roman" w:hAnsi="Times New Roman" w:eastAsia="黑体" w:cs="宋体"/>
                <w:kern w:val="0"/>
                <w:sz w:val="18"/>
                <w:szCs w:val="18"/>
              </w:rPr>
              <w:t>职能部门</w:t>
            </w:r>
          </w:p>
          <w:p>
            <w:pPr>
              <w:widowControl/>
              <w:snapToGrid w:val="0"/>
              <w:jc w:val="center"/>
              <w:rPr>
                <w:rFonts w:ascii="Times New Roman" w:hAnsi="Times New Roman" w:eastAsia="黑体" w:cs="宋体"/>
                <w:kern w:val="0"/>
                <w:sz w:val="18"/>
                <w:szCs w:val="18"/>
              </w:rPr>
            </w:pPr>
            <w:r>
              <w:rPr>
                <w:rFonts w:hint="eastAsia" w:ascii="Times New Roman" w:hAnsi="Times New Roman" w:eastAsia="黑体" w:cs="宋体"/>
                <w:kern w:val="0"/>
                <w:sz w:val="18"/>
                <w:szCs w:val="1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679" w:type="dxa"/>
            <w:tcMar>
              <w:left w:w="57" w:type="dxa"/>
              <w:right w:w="57" w:type="dxa"/>
            </w:tcMar>
            <w:vAlign w:val="center"/>
          </w:tcPr>
          <w:p>
            <w:pPr>
              <w:widowControl/>
              <w:numPr>
                <w:ilvl w:val="0"/>
                <w:numId w:val="1"/>
              </w:numPr>
              <w:snapToGrid w:val="0"/>
              <w:jc w:val="center"/>
              <w:rPr>
                <w:rFonts w:ascii="Times New Roman" w:hAnsi="Times New Roman" w:cs="宋体"/>
                <w:kern w:val="0"/>
                <w:sz w:val="20"/>
                <w:szCs w:val="20"/>
              </w:rPr>
            </w:pPr>
          </w:p>
        </w:tc>
        <w:tc>
          <w:tcPr>
            <w:tcW w:w="724" w:type="dxa"/>
            <w:vMerge w:val="restart"/>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普惠性养老服务项目</w:t>
            </w:r>
          </w:p>
        </w:tc>
        <w:tc>
          <w:tcPr>
            <w:tcW w:w="896"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尊老金</w:t>
            </w:r>
          </w:p>
        </w:tc>
        <w:tc>
          <w:tcPr>
            <w:tcW w:w="2775"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本县户籍且在本县常住的80周岁及以上老年人。（异地居住不得重复享受）</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80-89周岁，50元/人/月；90-99周岁，100元/人/月；100周岁以上，300元/人/月。</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老年人本人或其亲属（委托人）持身份证（原件及复印件）、户口本、近期一寸免冠照片，向户口所在村（居）委员会申请办理。</w:t>
            </w:r>
          </w:p>
        </w:tc>
        <w:tc>
          <w:tcPr>
            <w:tcW w:w="1005"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省、地方财政</w:t>
            </w:r>
          </w:p>
        </w:tc>
        <w:tc>
          <w:tcPr>
            <w:tcW w:w="2595"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《关于向80周岁以上老年人发放尊老金的通知》（苏民福〔2011〕6号 苏财社〔2011〕47号）；《关于向80-89周岁老年人发放尊老金的通知》（灌政办〔2011〕135号）</w:t>
            </w:r>
          </w:p>
        </w:tc>
        <w:tc>
          <w:tcPr>
            <w:tcW w:w="1180" w:type="dxa"/>
            <w:tcMar>
              <w:left w:w="57" w:type="dxa"/>
              <w:right w:w="57" w:type="dxa"/>
            </w:tcMar>
            <w:vAlign w:val="center"/>
          </w:tcPr>
          <w:p>
            <w:pPr>
              <w:widowControl/>
              <w:snapToGrid w:val="0"/>
              <w:jc w:val="center"/>
              <w:rPr>
                <w:rFonts w:hint="eastAsia" w:ascii="Times New Roman" w:hAnsi="Times New Roman" w:cs="宋体"/>
                <w:kern w:val="0"/>
                <w:sz w:val="20"/>
                <w:szCs w:val="20"/>
              </w:rPr>
            </w:pPr>
            <w:r>
              <w:rPr>
                <w:rFonts w:hint="eastAsia" w:ascii="Times New Roman" w:hAnsi="Times New Roman" w:cs="宋体"/>
                <w:kern w:val="0"/>
                <w:sz w:val="20"/>
                <w:szCs w:val="20"/>
              </w:rPr>
              <w:t>民政局</w:t>
            </w:r>
          </w:p>
          <w:p>
            <w:pPr>
              <w:widowControl/>
              <w:snapToGrid w:val="0"/>
              <w:jc w:val="center"/>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679" w:type="dxa"/>
            <w:tcMar>
              <w:left w:w="57" w:type="dxa"/>
              <w:right w:w="57" w:type="dxa"/>
            </w:tcMar>
            <w:vAlign w:val="center"/>
          </w:tcPr>
          <w:p>
            <w:pPr>
              <w:widowControl/>
              <w:numPr>
                <w:ilvl w:val="0"/>
                <w:numId w:val="1"/>
              </w:numPr>
              <w:snapToGrid w:val="0"/>
              <w:jc w:val="center"/>
              <w:rPr>
                <w:rFonts w:ascii="Times New Roman" w:hAnsi="Times New Roman" w:cs="宋体"/>
                <w:kern w:val="0"/>
                <w:sz w:val="20"/>
                <w:szCs w:val="20"/>
              </w:rPr>
            </w:pP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健康体检</w:t>
            </w:r>
          </w:p>
        </w:tc>
        <w:tc>
          <w:tcPr>
            <w:tcW w:w="2775"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辖区内65周岁及以上常住居民。</w:t>
            </w:r>
          </w:p>
        </w:tc>
        <w:tc>
          <w:tcPr>
            <w:tcW w:w="2163"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每年提供1次免费健康体检。</w:t>
            </w:r>
          </w:p>
        </w:tc>
        <w:tc>
          <w:tcPr>
            <w:tcW w:w="2459"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老年人持身份证（或户口簿）到辖区卫生服务中心领取体检表，进行体格检查和辅助检查，告知健康体检结果，进行健康指导。</w:t>
            </w:r>
          </w:p>
        </w:tc>
        <w:tc>
          <w:tcPr>
            <w:tcW w:w="1005" w:type="dxa"/>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公共卫生服务资金</w:t>
            </w:r>
          </w:p>
        </w:tc>
        <w:tc>
          <w:tcPr>
            <w:tcW w:w="2595"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《关于进一步做好65岁以上老年人健康体检工作的通知》（苏卫老健便函〔2019〕7号）</w:t>
            </w:r>
          </w:p>
        </w:tc>
        <w:tc>
          <w:tcPr>
            <w:tcW w:w="1180" w:type="dxa"/>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679" w:type="dxa"/>
            <w:tcMar>
              <w:left w:w="57" w:type="dxa"/>
              <w:right w:w="57" w:type="dxa"/>
            </w:tcMar>
            <w:vAlign w:val="center"/>
          </w:tcPr>
          <w:p>
            <w:pPr>
              <w:widowControl/>
              <w:numPr>
                <w:ilvl w:val="0"/>
                <w:numId w:val="1"/>
              </w:numPr>
              <w:snapToGrid w:val="0"/>
              <w:jc w:val="center"/>
              <w:rPr>
                <w:rFonts w:ascii="Times New Roman" w:hAnsi="Times New Roman" w:cs="宋体"/>
                <w:kern w:val="0"/>
                <w:sz w:val="20"/>
                <w:szCs w:val="20"/>
              </w:rPr>
            </w:pP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健康管理</w:t>
            </w:r>
          </w:p>
        </w:tc>
        <w:tc>
          <w:tcPr>
            <w:tcW w:w="2775"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辖区内65周岁及以上常住居民。</w:t>
            </w:r>
          </w:p>
        </w:tc>
        <w:tc>
          <w:tcPr>
            <w:tcW w:w="2163"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为65岁及以上老年人提供医养结合服务；为65岁及以上失能老年人开展健康评估与健康服务。</w:t>
            </w:r>
          </w:p>
        </w:tc>
        <w:tc>
          <w:tcPr>
            <w:tcW w:w="24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基层医疗卫生机构结合历次老年人健康体检结果，对辖区内65岁及以上居家养老的老年人进行两次医养结合服务；65岁及以上失能老年人提出健康评估申请。</w:t>
            </w:r>
          </w:p>
        </w:tc>
        <w:tc>
          <w:tcPr>
            <w:tcW w:w="1005"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公共卫生服务资金</w:t>
            </w:r>
          </w:p>
        </w:tc>
        <w:tc>
          <w:tcPr>
            <w:tcW w:w="2595"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《新划入基本公共卫生服务工作规范（2019年版）》；《省政府办公厅关于制定和实施老年人照顾服务项目的实施意见》（苏政办发〔2018〕1号）</w:t>
            </w:r>
          </w:p>
        </w:tc>
        <w:tc>
          <w:tcPr>
            <w:tcW w:w="1180" w:type="dxa"/>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4" w:hRule="atLeast"/>
          <w:jc w:val="center"/>
        </w:trPr>
        <w:tc>
          <w:tcPr>
            <w:tcW w:w="679" w:type="dxa"/>
            <w:tcMar>
              <w:left w:w="57" w:type="dxa"/>
              <w:right w:w="57" w:type="dxa"/>
            </w:tcMar>
            <w:vAlign w:val="center"/>
          </w:tcPr>
          <w:p>
            <w:pPr>
              <w:widowControl/>
              <w:numPr>
                <w:ilvl w:val="0"/>
                <w:numId w:val="1"/>
              </w:numPr>
              <w:snapToGrid w:val="0"/>
              <w:jc w:val="center"/>
              <w:rPr>
                <w:rFonts w:ascii="Times New Roman" w:hAnsi="Times New Roman" w:cs="宋体"/>
                <w:kern w:val="0"/>
                <w:sz w:val="20"/>
                <w:szCs w:val="20"/>
              </w:rPr>
            </w:pPr>
          </w:p>
        </w:tc>
        <w:tc>
          <w:tcPr>
            <w:tcW w:w="724" w:type="dxa"/>
            <w:vMerge w:val="continue"/>
            <w:tcMar>
              <w:left w:w="57" w:type="dxa"/>
              <w:right w:w="57" w:type="dxa"/>
            </w:tcMar>
            <w:vAlign w:val="center"/>
          </w:tcPr>
          <w:p>
            <w:pPr>
              <w:snapToGrid w:val="0"/>
              <w:jc w:val="center"/>
              <w:rPr>
                <w:rFonts w:ascii="Times New Roman" w:hAnsi="Times New Roman" w:cs="宋体"/>
                <w:kern w:val="0"/>
                <w:sz w:val="20"/>
                <w:szCs w:val="20"/>
              </w:rPr>
            </w:pPr>
          </w:p>
        </w:tc>
        <w:tc>
          <w:tcPr>
            <w:tcW w:w="896" w:type="dxa"/>
            <w:tcMar>
              <w:left w:w="57" w:type="dxa"/>
              <w:right w:w="57" w:type="dxa"/>
            </w:tcMar>
            <w:vAlign w:val="center"/>
          </w:tcPr>
          <w:p>
            <w:pPr>
              <w:widowControl/>
              <w:snapToGrid w:val="0"/>
              <w:jc w:val="center"/>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基本医疗保险异地就医结算</w:t>
            </w:r>
          </w:p>
        </w:tc>
        <w:tc>
          <w:tcPr>
            <w:tcW w:w="2775" w:type="dxa"/>
            <w:tcMar>
              <w:left w:w="57" w:type="dxa"/>
              <w:right w:w="57" w:type="dxa"/>
            </w:tcMar>
            <w:vAlign w:val="center"/>
          </w:tcPr>
          <w:p>
            <w:pPr>
              <w:widowControl/>
              <w:snapToGrid w:val="0"/>
              <w:jc w:val="center"/>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60周岁及以上老年人</w:t>
            </w:r>
          </w:p>
        </w:tc>
        <w:tc>
          <w:tcPr>
            <w:tcW w:w="2163"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jc w:val="both"/>
              <w:textAlignment w:val="auto"/>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对于长期驻外及因病经参保地定点医疗机构诊断需转异地医疗机构诊治的老年人，可申请办理异地就医联网结算。异地就医的老年人就医时按参保地政策直接结算，定点医疗机构提供相应的结算清单。应该由个人负担的部分，由个人按规定结清；应该由个人帐户及统筹基金支付的部分，由就医地经办机构与定点医疗机构代为结算。</w:t>
            </w:r>
          </w:p>
        </w:tc>
        <w:tc>
          <w:tcPr>
            <w:tcW w:w="2459"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1、长期居外：携带本人身份证、社保卡、暂住证、居住证明、房产证明（后三项选一即可）至灌云县政务服务中心医保窗口现场办理，也可以登陆灌云县政务服务网，提交材料网上办理，一天内办理完结。</w:t>
            </w:r>
          </w:p>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2、转外办理：经本地定点医疗机构直接办理转外手续即可。</w:t>
            </w:r>
          </w:p>
          <w:p>
            <w:pPr>
              <w:widowControl/>
              <w:snapToGrid w:val="0"/>
              <w:jc w:val="left"/>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3、相关手续办理完成后，在异地就医，可以实现即时结报，个人仅需支付个人负担部分，个人账户及统筹基金支付部分，由医保经办机构与其结算。</w:t>
            </w:r>
          </w:p>
        </w:tc>
        <w:tc>
          <w:tcPr>
            <w:tcW w:w="1005" w:type="dxa"/>
            <w:tcMar>
              <w:left w:w="57" w:type="dxa"/>
              <w:right w:w="57" w:type="dxa"/>
            </w:tcMar>
            <w:vAlign w:val="center"/>
          </w:tcPr>
          <w:p>
            <w:pPr>
              <w:widowControl/>
              <w:snapToGrid w:val="0"/>
              <w:jc w:val="center"/>
              <w:rPr>
                <w:rFonts w:hint="default" w:ascii="Times New Roman" w:hAnsi="Times New Roman" w:eastAsia="宋体" w:cs="宋体"/>
                <w:kern w:val="0"/>
                <w:sz w:val="20"/>
                <w:szCs w:val="20"/>
                <w:lang w:val="en-US" w:eastAsia="zh-CN" w:bidi="ar-SA"/>
              </w:rPr>
            </w:pPr>
            <w:r>
              <w:rPr>
                <w:rFonts w:hint="eastAsia" w:cs="宋体"/>
                <w:kern w:val="0"/>
                <w:sz w:val="20"/>
                <w:szCs w:val="20"/>
                <w:lang w:val="en-US" w:eastAsia="zh-CN" w:bidi="ar-SA"/>
              </w:rPr>
              <w:t>医保资金</w:t>
            </w:r>
          </w:p>
        </w:tc>
        <w:tc>
          <w:tcPr>
            <w:tcW w:w="2595" w:type="dxa"/>
            <w:tcMar>
              <w:left w:w="57" w:type="dxa"/>
              <w:right w:w="57" w:type="dxa"/>
            </w:tcMar>
            <w:vAlign w:val="center"/>
          </w:tcPr>
          <w:p>
            <w:pPr>
              <w:widowControl/>
              <w:snapToGrid w:val="0"/>
              <w:jc w:val="left"/>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《省政府办公厅关于制定和实施老年人照顾服务项目的实施意见》（苏政办发〔2018〕1号）</w:t>
            </w:r>
          </w:p>
        </w:tc>
        <w:tc>
          <w:tcPr>
            <w:tcW w:w="1180" w:type="dxa"/>
            <w:tcMar>
              <w:left w:w="57" w:type="dxa"/>
              <w:right w:w="57" w:type="dxa"/>
            </w:tcMar>
            <w:vAlign w:val="center"/>
          </w:tcPr>
          <w:p>
            <w:pPr>
              <w:widowControl/>
              <w:snapToGrid w:val="0"/>
              <w:jc w:val="center"/>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1" w:hRule="atLeast"/>
          <w:jc w:val="center"/>
        </w:trPr>
        <w:tc>
          <w:tcPr>
            <w:tcW w:w="679" w:type="dxa"/>
            <w:tcMar>
              <w:left w:w="57" w:type="dxa"/>
              <w:right w:w="57" w:type="dxa"/>
            </w:tcMar>
            <w:vAlign w:val="center"/>
          </w:tcPr>
          <w:p>
            <w:pPr>
              <w:widowControl/>
              <w:numPr>
                <w:ilvl w:val="0"/>
                <w:numId w:val="1"/>
              </w:numPr>
              <w:snapToGrid w:val="0"/>
              <w:jc w:val="center"/>
              <w:rPr>
                <w:rFonts w:ascii="Times New Roman" w:hAnsi="Times New Roman" w:cs="宋体"/>
                <w:kern w:val="0"/>
                <w:sz w:val="20"/>
                <w:szCs w:val="20"/>
              </w:rPr>
            </w:pPr>
          </w:p>
        </w:tc>
        <w:tc>
          <w:tcPr>
            <w:tcW w:w="724" w:type="dxa"/>
            <w:vMerge w:val="restart"/>
            <w:tcMar>
              <w:left w:w="57" w:type="dxa"/>
              <w:right w:w="57" w:type="dxa"/>
            </w:tcMar>
            <w:vAlign w:val="center"/>
          </w:tcPr>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hint="eastAsia" w:ascii="Times New Roman" w:hAnsi="Times New Roman" w:cs="宋体"/>
                <w:kern w:val="0"/>
                <w:sz w:val="20"/>
                <w:szCs w:val="20"/>
              </w:rPr>
            </w:pPr>
          </w:p>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困难老年人保障</w:t>
            </w:r>
          </w:p>
        </w:tc>
        <w:tc>
          <w:tcPr>
            <w:tcW w:w="896" w:type="dxa"/>
            <w:tcMar>
              <w:left w:w="57" w:type="dxa"/>
              <w:right w:w="57" w:type="dxa"/>
            </w:tcMar>
            <w:vAlign w:val="center"/>
          </w:tcPr>
          <w:p>
            <w:pPr>
              <w:widowControl/>
              <w:snapToGrid w:val="0"/>
              <w:jc w:val="center"/>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困难老年人政府购买服务补贴</w:t>
            </w:r>
          </w:p>
        </w:tc>
        <w:tc>
          <w:tcPr>
            <w:tcW w:w="2775" w:type="dxa"/>
            <w:tcMar>
              <w:left w:w="57" w:type="dxa"/>
              <w:right w:w="57"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220" w:lineRule="exact"/>
              <w:jc w:val="left"/>
              <w:textAlignment w:val="auto"/>
              <w:rPr>
                <w:rFonts w:hint="eastAsia" w:ascii="Times New Roman" w:hAnsi="Times New Roman" w:cs="宋体"/>
                <w:kern w:val="0"/>
                <w:sz w:val="20"/>
                <w:szCs w:val="20"/>
              </w:rPr>
            </w:pPr>
            <w:r>
              <w:rPr>
                <w:rFonts w:hint="eastAsia" w:ascii="Times New Roman" w:hAnsi="Times New Roman" w:cs="宋体"/>
                <w:kern w:val="0"/>
                <w:sz w:val="20"/>
                <w:szCs w:val="20"/>
              </w:rPr>
              <w:t>具有本县户籍且实际居住在本县范围内的困难老人，符合下列条件之一的，可以申请政府购买服务：</w:t>
            </w:r>
          </w:p>
          <w:p>
            <w:pPr>
              <w:keepNext w:val="0"/>
              <w:keepLines w:val="0"/>
              <w:pageBreakBefore w:val="0"/>
              <w:widowControl/>
              <w:numPr>
                <w:ilvl w:val="0"/>
                <w:numId w:val="0"/>
              </w:numPr>
              <w:kinsoku/>
              <w:wordWrap/>
              <w:overflowPunct/>
              <w:topLinePunct w:val="0"/>
              <w:autoSpaceDE/>
              <w:autoSpaceDN/>
              <w:bidi w:val="0"/>
              <w:adjustRightInd/>
              <w:snapToGrid w:val="0"/>
              <w:spacing w:line="220" w:lineRule="exact"/>
              <w:ind w:left="0" w:leftChars="0" w:firstLine="0" w:firstLineChars="0"/>
              <w:jc w:val="left"/>
              <w:textAlignment w:val="auto"/>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1.最低生活保障家庭，60周岁以上全护理（介护）老人，70周岁以上半护理（介助）老人及80周岁以上老人；2.分散供养特困对象（城市“三无老人”、农村“五保老人”）中80周岁以上老年人和半护理（介助）老人（全护理特困老人应进入养老机构供养）；3.60周岁以上，无子女照顾或子女残疾（失去劳动能力）无能力照顾的市级以上劳动模范和重点优抚对象中的三属（烈士、因公牺牲军人、病故军人的遗属）全护理（介护）的老人；4.非最低生活保障家庭中，80周岁以上因本人大病致贫且享受当年度临时救助中的重大病患者待遇的老人（大病包括但不限于恶性肿瘤、白血病、再生障碍性贫血、血友病、尿毒症等）；5.独生子女家庭中，独生子女重残（一、二级残）或死亡，其后未再生育或收养子女的全护理（介护）老人；6.80周岁以上，收入在最低生活保障标准2倍以内的空巢、独居老人；7. 最低生活保障和低收入家庭（建档立卡低收入家庭）中60周岁以上的失独老人。</w:t>
            </w:r>
          </w:p>
        </w:tc>
        <w:tc>
          <w:tcPr>
            <w:tcW w:w="2163" w:type="dxa"/>
            <w:tcMar>
              <w:left w:w="57" w:type="dxa"/>
              <w:right w:w="57" w:type="dxa"/>
            </w:tcMar>
            <w:vAlign w:val="center"/>
          </w:tcPr>
          <w:p>
            <w:pPr>
              <w:widowControl/>
              <w:snapToGrid w:val="0"/>
              <w:jc w:val="left"/>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30-100元/人/月，具体标准根据评估结果确定。</w:t>
            </w:r>
          </w:p>
        </w:tc>
        <w:tc>
          <w:tcPr>
            <w:tcW w:w="2459" w:type="dxa"/>
            <w:tcMar>
              <w:left w:w="57" w:type="dxa"/>
              <w:right w:w="57" w:type="dxa"/>
            </w:tcMar>
            <w:vAlign w:val="center"/>
          </w:tcPr>
          <w:p>
            <w:pPr>
              <w:widowControl/>
              <w:snapToGrid w:val="0"/>
              <w:jc w:val="left"/>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凡符合上述条件老人，每季度首月15日之前由本人向户籍所在地村（居）委会提出申请。本人申请有困难的可以委托村（居）委会或者书面委托代理人提出申请，并提供户口簿、居民身份证等相关证明材料，并填写《政府购买居家养老服务项目申请表》，并上报镇（街）人民政府（办事处）。</w:t>
            </w:r>
          </w:p>
        </w:tc>
        <w:tc>
          <w:tcPr>
            <w:tcW w:w="1005" w:type="dxa"/>
            <w:tcMar>
              <w:left w:w="57" w:type="dxa"/>
              <w:right w:w="57" w:type="dxa"/>
            </w:tcMar>
            <w:vAlign w:val="center"/>
          </w:tcPr>
          <w:p>
            <w:pPr>
              <w:widowControl/>
              <w:snapToGrid w:val="0"/>
              <w:jc w:val="center"/>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省财政</w:t>
            </w:r>
          </w:p>
        </w:tc>
        <w:tc>
          <w:tcPr>
            <w:tcW w:w="2595" w:type="dxa"/>
            <w:tcMar>
              <w:left w:w="57" w:type="dxa"/>
              <w:right w:w="57" w:type="dxa"/>
            </w:tcMar>
            <w:vAlign w:val="center"/>
          </w:tcPr>
          <w:p>
            <w:pPr>
              <w:widowControl/>
              <w:snapToGrid w:val="0"/>
              <w:jc w:val="left"/>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《关于进一步规范灌云县政府购买居家养老服务工作的通知》（灌民发〔2021〕16号）</w:t>
            </w:r>
          </w:p>
        </w:tc>
        <w:tc>
          <w:tcPr>
            <w:tcW w:w="1180" w:type="dxa"/>
            <w:tcMar>
              <w:left w:w="57" w:type="dxa"/>
              <w:right w:w="57" w:type="dxa"/>
            </w:tcMar>
            <w:vAlign w:val="center"/>
          </w:tcPr>
          <w:p>
            <w:pPr>
              <w:widowControl/>
              <w:snapToGrid w:val="0"/>
              <w:jc w:val="center"/>
              <w:rPr>
                <w:rFonts w:hint="eastAsia" w:ascii="Times New Roman" w:hAnsi="Times New Roman" w:cs="宋体"/>
                <w:kern w:val="0"/>
                <w:sz w:val="20"/>
                <w:szCs w:val="20"/>
              </w:rPr>
            </w:pPr>
            <w:r>
              <w:rPr>
                <w:rFonts w:hint="eastAsia" w:ascii="Times New Roman" w:hAnsi="Times New Roman" w:cs="宋体"/>
                <w:kern w:val="0"/>
                <w:sz w:val="20"/>
                <w:szCs w:val="20"/>
              </w:rPr>
              <w:t>民政局</w:t>
            </w:r>
          </w:p>
          <w:p>
            <w:pPr>
              <w:widowControl/>
              <w:snapToGrid w:val="0"/>
              <w:jc w:val="center"/>
              <w:rPr>
                <w:rFonts w:hint="eastAsia" w:ascii="Times New Roman" w:hAnsi="Times New Roman" w:eastAsia="宋体" w:cs="宋体"/>
                <w:kern w:val="0"/>
                <w:sz w:val="20"/>
                <w:szCs w:val="20"/>
                <w:lang w:val="en-US" w:eastAsia="zh-CN"/>
              </w:rPr>
            </w:pPr>
            <w:r>
              <w:rPr>
                <w:rFonts w:hint="eastAsia" w:cs="宋体"/>
                <w:kern w:val="0"/>
                <w:sz w:val="20"/>
                <w:szCs w:val="20"/>
                <w:lang w:val="en-US" w:eastAsia="zh-CN"/>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679" w:type="dxa"/>
            <w:tcMar>
              <w:left w:w="57" w:type="dxa"/>
              <w:right w:w="57" w:type="dxa"/>
            </w:tcMar>
            <w:vAlign w:val="center"/>
          </w:tcPr>
          <w:p>
            <w:pPr>
              <w:widowControl/>
              <w:numPr>
                <w:ilvl w:val="0"/>
                <w:numId w:val="1"/>
              </w:numPr>
              <w:snapToGrid w:val="0"/>
              <w:ind w:left="420" w:leftChars="0" w:hanging="420" w:firstLineChars="0"/>
              <w:jc w:val="center"/>
              <w:rPr>
                <w:rFonts w:ascii="Times New Roman" w:hAnsi="Times New Roman" w:eastAsia="宋体" w:cs="宋体"/>
                <w:kern w:val="0"/>
                <w:sz w:val="20"/>
                <w:szCs w:val="20"/>
                <w:lang w:val="en-US" w:eastAsia="zh-CN" w:bidi="ar-SA"/>
              </w:rPr>
            </w:pPr>
          </w:p>
        </w:tc>
        <w:tc>
          <w:tcPr>
            <w:tcW w:w="724" w:type="dxa"/>
            <w:vMerge w:val="continue"/>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p>
        </w:tc>
        <w:tc>
          <w:tcPr>
            <w:tcW w:w="896" w:type="dxa"/>
            <w:vMerge w:val="restart"/>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特殊困难重点老年人的基本生活服务</w:t>
            </w:r>
          </w:p>
        </w:tc>
        <w:tc>
          <w:tcPr>
            <w:tcW w:w="2775" w:type="dxa"/>
            <w:tcMar>
              <w:left w:w="57" w:type="dxa"/>
              <w:right w:w="57"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220" w:lineRule="exact"/>
              <w:ind w:left="0" w:leftChars="0" w:firstLine="0" w:firstLineChars="0"/>
              <w:jc w:val="left"/>
              <w:textAlignment w:val="auto"/>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最低生活保障家庭中60周岁以上老年人</w:t>
            </w:r>
          </w:p>
        </w:tc>
        <w:tc>
          <w:tcPr>
            <w:tcW w:w="2163"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其本人每月增发不低于当地最低生活保障标准10%的保障金。</w:t>
            </w:r>
          </w:p>
        </w:tc>
        <w:tc>
          <w:tcPr>
            <w:tcW w:w="2459"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申请人向户籍所在地乡镇人民政府（街道办事处）服务窗口提交书面申请及相关材料</w:t>
            </w:r>
          </w:p>
        </w:tc>
        <w:tc>
          <w:tcPr>
            <w:tcW w:w="1005" w:type="dxa"/>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上级、地方财政</w:t>
            </w:r>
          </w:p>
        </w:tc>
        <w:tc>
          <w:tcPr>
            <w:tcW w:w="2595"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《江苏省居民最低生活保障工作规程》（苏民规〔2020〕5号）</w:t>
            </w:r>
          </w:p>
        </w:tc>
        <w:tc>
          <w:tcPr>
            <w:tcW w:w="1180" w:type="dxa"/>
            <w:tcMar>
              <w:left w:w="57" w:type="dxa"/>
              <w:right w:w="57" w:type="dxa"/>
            </w:tcMar>
            <w:vAlign w:val="center"/>
          </w:tcPr>
          <w:p>
            <w:pPr>
              <w:widowControl/>
              <w:snapToGrid w:val="0"/>
              <w:jc w:val="center"/>
              <w:rPr>
                <w:rFonts w:hint="eastAsia" w:ascii="Times New Roman" w:hAnsi="Times New Roman" w:cs="宋体"/>
                <w:kern w:val="0"/>
                <w:sz w:val="20"/>
                <w:szCs w:val="20"/>
              </w:rPr>
            </w:pPr>
            <w:r>
              <w:rPr>
                <w:rFonts w:hint="eastAsia" w:ascii="Times New Roman" w:hAnsi="Times New Roman" w:cs="宋体"/>
                <w:kern w:val="0"/>
                <w:sz w:val="20"/>
                <w:szCs w:val="20"/>
              </w:rPr>
              <w:t>民政局</w:t>
            </w:r>
          </w:p>
          <w:p>
            <w:pPr>
              <w:widowControl/>
              <w:snapToGrid w:val="0"/>
              <w:jc w:val="center"/>
              <w:rPr>
                <w:rFonts w:hint="eastAsia" w:ascii="Times New Roman" w:hAnsi="Times New Roman" w:eastAsia="宋体" w:cs="宋体"/>
                <w:kern w:val="0"/>
                <w:sz w:val="20"/>
                <w:szCs w:val="20"/>
                <w:lang w:val="en-US" w:eastAsia="zh-CN"/>
              </w:rPr>
            </w:pPr>
            <w:r>
              <w:rPr>
                <w:rFonts w:hint="eastAsia" w:cs="宋体"/>
                <w:kern w:val="0"/>
                <w:sz w:val="20"/>
                <w:szCs w:val="20"/>
                <w:lang w:val="en-US" w:eastAsia="zh-CN"/>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679" w:type="dxa"/>
            <w:tcMar>
              <w:left w:w="57" w:type="dxa"/>
              <w:right w:w="57" w:type="dxa"/>
            </w:tcMar>
            <w:vAlign w:val="center"/>
          </w:tcPr>
          <w:p>
            <w:pPr>
              <w:widowControl/>
              <w:numPr>
                <w:ilvl w:val="0"/>
                <w:numId w:val="1"/>
              </w:numPr>
              <w:snapToGrid w:val="0"/>
              <w:jc w:val="center"/>
              <w:rPr>
                <w:rFonts w:ascii="Times New Roman" w:hAnsi="Times New Roman" w:cs="宋体"/>
                <w:kern w:val="0"/>
                <w:sz w:val="20"/>
                <w:szCs w:val="20"/>
              </w:rPr>
            </w:pP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2775" w:type="dxa"/>
            <w:tcMar>
              <w:left w:w="57" w:type="dxa"/>
              <w:right w:w="57"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220" w:lineRule="exact"/>
              <w:ind w:left="0" w:leftChars="0" w:firstLine="0" w:firstLineChars="0"/>
              <w:jc w:val="left"/>
              <w:textAlignment w:val="auto"/>
              <w:rPr>
                <w:rFonts w:hint="eastAsia"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享受最低生活保障的60周岁及以上老年人和其他低收入家庭的老年人</w:t>
            </w:r>
          </w:p>
        </w:tc>
        <w:tc>
          <w:tcPr>
            <w:tcW w:w="2163"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参加城乡居民基本医疗保险的，其个人缴费部分由政府给予补贴。</w:t>
            </w:r>
          </w:p>
        </w:tc>
        <w:tc>
          <w:tcPr>
            <w:tcW w:w="2459"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根据有关单位报送的名单导入参保系统，个人无须进行缴费操作。</w:t>
            </w:r>
          </w:p>
        </w:tc>
        <w:tc>
          <w:tcPr>
            <w:tcW w:w="1005" w:type="dxa"/>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上级、地方财政</w:t>
            </w:r>
          </w:p>
        </w:tc>
        <w:tc>
          <w:tcPr>
            <w:tcW w:w="2595" w:type="dxa"/>
            <w:tcMar>
              <w:left w:w="57" w:type="dxa"/>
              <w:right w:w="57" w:type="dxa"/>
            </w:tcMar>
            <w:vAlign w:val="center"/>
          </w:tcPr>
          <w:p>
            <w:pPr>
              <w:widowControl/>
              <w:snapToGrid w:val="0"/>
              <w:jc w:val="left"/>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《省政府办公厅关于制定和实施老年人照顾服务项目的实施意见》（苏政办发〔2018〕1号）</w:t>
            </w:r>
          </w:p>
        </w:tc>
        <w:tc>
          <w:tcPr>
            <w:tcW w:w="1180" w:type="dxa"/>
            <w:tcMar>
              <w:left w:w="57" w:type="dxa"/>
              <w:right w:w="57" w:type="dxa"/>
            </w:tcMar>
            <w:vAlign w:val="center"/>
          </w:tcPr>
          <w:p>
            <w:pPr>
              <w:widowControl/>
              <w:snapToGrid w:val="0"/>
              <w:jc w:val="center"/>
              <w:rPr>
                <w:rFonts w:ascii="Times New Roman" w:hAnsi="Times New Roman" w:eastAsia="宋体" w:cs="宋体"/>
                <w:kern w:val="0"/>
                <w:sz w:val="20"/>
                <w:szCs w:val="20"/>
                <w:lang w:val="en-US" w:eastAsia="zh-CN" w:bidi="ar-SA"/>
              </w:rPr>
            </w:pPr>
            <w:r>
              <w:rPr>
                <w:rFonts w:hint="eastAsia" w:ascii="Times New Roman" w:hAnsi="Times New Roman" w:cs="宋体"/>
                <w:kern w:val="0"/>
                <w:sz w:val="20"/>
                <w:szCs w:val="20"/>
              </w:rPr>
              <w:t>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679" w:type="dxa"/>
            <w:tcMar>
              <w:left w:w="57" w:type="dxa"/>
              <w:right w:w="57" w:type="dxa"/>
            </w:tcMar>
            <w:vAlign w:val="center"/>
          </w:tcPr>
          <w:p>
            <w:pPr>
              <w:widowControl/>
              <w:snapToGrid w:val="0"/>
              <w:jc w:val="center"/>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8</w:t>
            </w:r>
          </w:p>
        </w:tc>
        <w:tc>
          <w:tcPr>
            <w:tcW w:w="724" w:type="dxa"/>
            <w:vMerge w:val="continue"/>
            <w:tcMar>
              <w:left w:w="57" w:type="dxa"/>
              <w:right w:w="57" w:type="dxa"/>
            </w:tcMar>
            <w:vAlign w:val="center"/>
          </w:tcPr>
          <w:p>
            <w:pPr>
              <w:widowControl/>
              <w:snapToGrid w:val="0"/>
              <w:jc w:val="center"/>
              <w:rPr>
                <w:rFonts w:hint="eastAsia" w:ascii="Times New Roman" w:hAnsi="Times New Roman" w:cs="宋体"/>
                <w:kern w:val="0"/>
                <w:sz w:val="20"/>
                <w:szCs w:val="20"/>
              </w:rPr>
            </w:pPr>
          </w:p>
        </w:tc>
        <w:tc>
          <w:tcPr>
            <w:tcW w:w="896" w:type="dxa"/>
            <w:tcMar>
              <w:left w:w="57" w:type="dxa"/>
              <w:right w:w="57" w:type="dxa"/>
            </w:tcMar>
            <w:vAlign w:val="center"/>
          </w:tcPr>
          <w:p>
            <w:pPr>
              <w:widowControl/>
              <w:snapToGrid w:val="0"/>
              <w:jc w:val="center"/>
              <w:rPr>
                <w:rFonts w:hint="eastAsia" w:ascii="Times New Roman" w:hAnsi="Times New Roman" w:cs="宋体"/>
                <w:kern w:val="0"/>
                <w:sz w:val="20"/>
                <w:szCs w:val="20"/>
              </w:rPr>
            </w:pPr>
            <w:r>
              <w:rPr>
                <w:rFonts w:hint="eastAsia" w:ascii="Times New Roman" w:hAnsi="Times New Roman" w:cs="宋体"/>
                <w:kern w:val="0"/>
                <w:sz w:val="20"/>
                <w:szCs w:val="20"/>
              </w:rPr>
              <w:t>困难老年人家庭居家适老化改造</w:t>
            </w:r>
          </w:p>
        </w:tc>
        <w:tc>
          <w:tcPr>
            <w:tcW w:w="2775"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城乡低保对象、纳入特困供养、建档立卡范围的高龄、失能、残疾老年人家庭</w:t>
            </w:r>
          </w:p>
        </w:tc>
        <w:tc>
          <w:tcPr>
            <w:tcW w:w="2163"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采取政府补贴等方式，实施居家适老化改造。</w:t>
            </w:r>
          </w:p>
        </w:tc>
        <w:tc>
          <w:tcPr>
            <w:tcW w:w="2459"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申请人向户籍所在地村（居）提交书面申请及相关材料，符合条件的报镇街审核。</w:t>
            </w:r>
          </w:p>
        </w:tc>
        <w:tc>
          <w:tcPr>
            <w:tcW w:w="1005"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省财政</w:t>
            </w:r>
          </w:p>
        </w:tc>
        <w:tc>
          <w:tcPr>
            <w:tcW w:w="2595"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《省政府关于进一步推进养老服务高质量发展的实施意见》（苏政发〔2019〕85号）；《灌云县2021年度经济困难老年人家庭适老化改造的实施方案》（灌民发〔2021〕14号）</w:t>
            </w:r>
          </w:p>
        </w:tc>
        <w:tc>
          <w:tcPr>
            <w:tcW w:w="1180"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2" w:hRule="atLeast"/>
          <w:jc w:val="center"/>
        </w:trPr>
        <w:tc>
          <w:tcPr>
            <w:tcW w:w="679" w:type="dxa"/>
            <w:tcMar>
              <w:left w:w="57" w:type="dxa"/>
              <w:right w:w="57" w:type="dxa"/>
            </w:tcMar>
            <w:vAlign w:val="center"/>
          </w:tcPr>
          <w:p>
            <w:pPr>
              <w:widowControl/>
              <w:numPr>
                <w:ilvl w:val="0"/>
                <w:numId w:val="0"/>
              </w:numPr>
              <w:snapToGrid w:val="0"/>
              <w:ind w:leftChars="0" w:firstLine="200" w:firstLineChars="100"/>
              <w:jc w:val="both"/>
              <w:rPr>
                <w:rFonts w:hint="eastAsia" w:ascii="Times New Roman" w:hAnsi="Times New Roman" w:eastAsia="宋体" w:cs="宋体"/>
                <w:kern w:val="0"/>
                <w:sz w:val="20"/>
                <w:szCs w:val="20"/>
                <w:lang w:val="en-US" w:eastAsia="zh-CN"/>
              </w:rPr>
            </w:pPr>
            <w:r>
              <w:rPr>
                <w:rFonts w:hint="eastAsia" w:cs="宋体"/>
                <w:kern w:val="0"/>
                <w:sz w:val="20"/>
                <w:szCs w:val="20"/>
                <w:lang w:val="en-US" w:eastAsia="zh-CN"/>
              </w:rPr>
              <w:t>9</w:t>
            </w:r>
          </w:p>
        </w:tc>
        <w:tc>
          <w:tcPr>
            <w:tcW w:w="724"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政府供养老年人兜底保障</w:t>
            </w:r>
          </w:p>
        </w:tc>
        <w:tc>
          <w:tcPr>
            <w:tcW w:w="896"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特困老人供养</w:t>
            </w:r>
          </w:p>
        </w:tc>
        <w:tc>
          <w:tcPr>
            <w:tcW w:w="2775"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本县户籍无劳动能力、无生活来源且无法定赡养、抚养、扶养义务人，或者无法定赡养、抚养、扶养义务人或者其法定义务人无履行义务能力。</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按照不低于当地上年度居民人均可支配收入的50%，并且不低于低保标准1.3倍给予分散或集中供养。</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由本人向户籍所在地的镇人民政府、街道办事处提出书面申请，并且书面声明家庭人口状况、收入状况、财产状况，委托社会救助经办机构和管理部门对其家庭人口、收入和财产状况进行查询、核对；本人申请有困难的，可以委托村民委员会、居民委员会代为提出申请。</w:t>
            </w:r>
          </w:p>
        </w:tc>
        <w:tc>
          <w:tcPr>
            <w:tcW w:w="1005"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上级、地方财政</w:t>
            </w:r>
          </w:p>
        </w:tc>
        <w:tc>
          <w:tcPr>
            <w:tcW w:w="2595" w:type="dxa"/>
            <w:tcMar>
              <w:left w:w="57" w:type="dxa"/>
              <w:right w:w="57" w:type="dxa"/>
            </w:tcMar>
            <w:vAlign w:val="center"/>
          </w:tcPr>
          <w:p>
            <w:pPr>
              <w:widowControl/>
              <w:snapToGrid w:val="0"/>
              <w:jc w:val="left"/>
              <w:rPr>
                <w:rFonts w:hint="eastAsia" w:ascii="Times New Roman" w:hAnsi="Times New Roman" w:cs="宋体"/>
                <w:kern w:val="0"/>
                <w:sz w:val="20"/>
                <w:szCs w:val="20"/>
              </w:rPr>
            </w:pPr>
            <w:r>
              <w:rPr>
                <w:rFonts w:hint="eastAsia" w:ascii="Times New Roman" w:hAnsi="Times New Roman" w:cs="宋体"/>
                <w:kern w:val="0"/>
                <w:sz w:val="20"/>
                <w:szCs w:val="20"/>
              </w:rPr>
              <w:t>《特困人员认定办法》（民发〔2021〕43 号）；《江苏省社会救助办法》（2014年12月17日江苏省人民政府令第99号）；《县政府办公室关于提高城乡特困人员供养标准的通知》（灌政办〔2020〕65 号）</w:t>
            </w:r>
          </w:p>
        </w:tc>
        <w:tc>
          <w:tcPr>
            <w:tcW w:w="1180" w:type="dxa"/>
            <w:tcMar>
              <w:left w:w="57" w:type="dxa"/>
              <w:right w:w="57" w:type="dxa"/>
            </w:tcMar>
            <w:vAlign w:val="center"/>
          </w:tcPr>
          <w:p>
            <w:pPr>
              <w:widowControl/>
              <w:snapToGrid w:val="0"/>
              <w:jc w:val="center"/>
              <w:rPr>
                <w:rFonts w:hint="eastAsia" w:ascii="Times New Roman" w:hAnsi="Times New Roman" w:cs="宋体"/>
                <w:kern w:val="0"/>
                <w:sz w:val="20"/>
                <w:szCs w:val="20"/>
              </w:rPr>
            </w:pPr>
            <w:r>
              <w:rPr>
                <w:rFonts w:hint="eastAsia" w:ascii="Times New Roman" w:hAnsi="Times New Roman" w:cs="宋体"/>
                <w:kern w:val="0"/>
                <w:sz w:val="20"/>
                <w:szCs w:val="20"/>
              </w:rPr>
              <w:t>民政局</w:t>
            </w:r>
          </w:p>
          <w:p>
            <w:pPr>
              <w:widowControl/>
              <w:snapToGrid w:val="0"/>
              <w:jc w:val="center"/>
              <w:rPr>
                <w:rFonts w:hint="eastAsia" w:ascii="Times New Roman" w:hAnsi="Times New Roman" w:eastAsia="宋体" w:cs="宋体"/>
                <w:kern w:val="0"/>
                <w:sz w:val="20"/>
                <w:szCs w:val="20"/>
                <w:lang w:val="en-US" w:eastAsia="zh-CN"/>
              </w:rPr>
            </w:pPr>
            <w:r>
              <w:rPr>
                <w:rFonts w:hint="eastAsia" w:cs="宋体"/>
                <w:kern w:val="0"/>
                <w:sz w:val="20"/>
                <w:szCs w:val="20"/>
                <w:lang w:val="en-US" w:eastAsia="zh-CN"/>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679" w:type="dxa"/>
            <w:tcMar>
              <w:left w:w="57" w:type="dxa"/>
              <w:right w:w="57" w:type="dxa"/>
            </w:tcMar>
            <w:vAlign w:val="center"/>
          </w:tcPr>
          <w:p>
            <w:pPr>
              <w:widowControl/>
              <w:numPr>
                <w:ilvl w:val="0"/>
                <w:numId w:val="0"/>
              </w:numPr>
              <w:snapToGrid w:val="0"/>
              <w:ind w:leftChars="0" w:firstLine="200" w:firstLineChars="100"/>
              <w:jc w:val="both"/>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10</w:t>
            </w:r>
          </w:p>
        </w:tc>
        <w:tc>
          <w:tcPr>
            <w:tcW w:w="724" w:type="dxa"/>
            <w:vMerge w:val="restart"/>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老年人优待服务</w:t>
            </w:r>
          </w:p>
        </w:tc>
        <w:tc>
          <w:tcPr>
            <w:tcW w:w="896"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法律援助</w:t>
            </w:r>
          </w:p>
        </w:tc>
        <w:tc>
          <w:tcPr>
            <w:tcW w:w="277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年满70周岁及以上老年人。</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符合条件者，为其提供法律援助，指派律师或基层法律工作者为其进行维权，免除法律服务费用。</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年满70周岁或者患有重大疾病的老年人，无须出具经济困难证明。</w:t>
            </w:r>
          </w:p>
        </w:tc>
        <w:tc>
          <w:tcPr>
            <w:tcW w:w="1005"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上级、地方财政</w:t>
            </w:r>
          </w:p>
        </w:tc>
        <w:tc>
          <w:tcPr>
            <w:tcW w:w="259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《关于印发&lt;关于完善法律援助制度的实施意见&gt; 的通知》（连委办发〔2016〕72号）</w:t>
            </w:r>
          </w:p>
        </w:tc>
        <w:tc>
          <w:tcPr>
            <w:tcW w:w="1180"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679" w:type="dxa"/>
            <w:tcMar>
              <w:left w:w="57" w:type="dxa"/>
              <w:right w:w="57" w:type="dxa"/>
            </w:tcMar>
            <w:vAlign w:val="center"/>
          </w:tcPr>
          <w:p>
            <w:pPr>
              <w:widowControl/>
              <w:numPr>
                <w:ilvl w:val="0"/>
                <w:numId w:val="0"/>
              </w:numPr>
              <w:snapToGrid w:val="0"/>
              <w:ind w:leftChars="0" w:firstLine="200" w:firstLineChars="100"/>
              <w:jc w:val="both"/>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11</w:t>
            </w: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vMerge w:val="restart"/>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旅游景区</w:t>
            </w:r>
          </w:p>
        </w:tc>
        <w:tc>
          <w:tcPr>
            <w:tcW w:w="277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本县户籍70周岁及以上老年人。</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凭身份证可免费进入国有景区游览。</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本人持身份证进入景区。</w:t>
            </w:r>
          </w:p>
        </w:tc>
        <w:tc>
          <w:tcPr>
            <w:tcW w:w="1005" w:type="dxa"/>
            <w:vMerge w:val="restart"/>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无</w:t>
            </w:r>
          </w:p>
        </w:tc>
        <w:tc>
          <w:tcPr>
            <w:tcW w:w="2595" w:type="dxa"/>
            <w:vMerge w:val="restart"/>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《连云港市景区门票和相关服务价格管理实施细则》(连价规〔2018〕1号）</w:t>
            </w:r>
          </w:p>
        </w:tc>
        <w:tc>
          <w:tcPr>
            <w:tcW w:w="1180" w:type="dxa"/>
            <w:vMerge w:val="restart"/>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文广旅游局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679" w:type="dxa"/>
            <w:tcMar>
              <w:left w:w="57" w:type="dxa"/>
              <w:right w:w="57" w:type="dxa"/>
            </w:tcMar>
            <w:vAlign w:val="center"/>
          </w:tcPr>
          <w:p>
            <w:pPr>
              <w:widowControl/>
              <w:numPr>
                <w:ilvl w:val="0"/>
                <w:numId w:val="0"/>
              </w:numPr>
              <w:snapToGrid w:val="0"/>
              <w:ind w:leftChars="0" w:firstLine="200" w:firstLineChars="100"/>
              <w:jc w:val="both"/>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12</w:t>
            </w: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vMerge w:val="continue"/>
            <w:tcMar>
              <w:left w:w="57" w:type="dxa"/>
              <w:right w:w="57" w:type="dxa"/>
            </w:tcMar>
            <w:vAlign w:val="center"/>
          </w:tcPr>
          <w:p>
            <w:pPr>
              <w:widowControl/>
              <w:snapToGrid w:val="0"/>
              <w:jc w:val="left"/>
              <w:rPr>
                <w:rFonts w:ascii="Times New Roman" w:hAnsi="Times New Roman" w:cs="宋体"/>
                <w:kern w:val="0"/>
                <w:sz w:val="20"/>
                <w:szCs w:val="20"/>
              </w:rPr>
            </w:pPr>
          </w:p>
        </w:tc>
        <w:tc>
          <w:tcPr>
            <w:tcW w:w="277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本县户籍60-69周岁老年人。</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凭身份证享受国有景区门票半价优惠。</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本人持身份证购票和进入景区。</w:t>
            </w:r>
          </w:p>
        </w:tc>
        <w:tc>
          <w:tcPr>
            <w:tcW w:w="1005"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2595" w:type="dxa"/>
            <w:vMerge w:val="continue"/>
            <w:tcMar>
              <w:left w:w="57" w:type="dxa"/>
              <w:right w:w="57" w:type="dxa"/>
            </w:tcMar>
            <w:vAlign w:val="center"/>
          </w:tcPr>
          <w:p>
            <w:pPr>
              <w:widowControl/>
              <w:snapToGrid w:val="0"/>
              <w:jc w:val="left"/>
              <w:rPr>
                <w:rFonts w:ascii="Times New Roman" w:hAnsi="Times New Roman" w:cs="宋体"/>
                <w:kern w:val="0"/>
                <w:sz w:val="20"/>
                <w:szCs w:val="20"/>
              </w:rPr>
            </w:pPr>
          </w:p>
        </w:tc>
        <w:tc>
          <w:tcPr>
            <w:tcW w:w="1180"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679" w:type="dxa"/>
            <w:tcMar>
              <w:left w:w="57" w:type="dxa"/>
              <w:right w:w="57" w:type="dxa"/>
            </w:tcMar>
            <w:vAlign w:val="center"/>
          </w:tcPr>
          <w:p>
            <w:pPr>
              <w:widowControl/>
              <w:numPr>
                <w:ilvl w:val="0"/>
                <w:numId w:val="0"/>
              </w:numPr>
              <w:snapToGrid w:val="0"/>
              <w:ind w:leftChars="0" w:firstLine="200" w:firstLineChars="100"/>
              <w:jc w:val="both"/>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13</w:t>
            </w: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老年人优待证办理</w:t>
            </w:r>
          </w:p>
        </w:tc>
        <w:tc>
          <w:tcPr>
            <w:tcW w:w="277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60周岁及以上老年人。</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持有本县户口的老年人和长期居住本县一年以上的外地、外籍老年人办理老年优待证。</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老年人或委托子女带身份证原件、复印件、近期1寸免冠（红底）照片到所在社区（村委会）或乡镇登记、提交资料、办理证件。</w:t>
            </w:r>
          </w:p>
        </w:tc>
        <w:tc>
          <w:tcPr>
            <w:tcW w:w="1005" w:type="dxa"/>
            <w:tcMar>
              <w:left w:w="57" w:type="dxa"/>
              <w:right w:w="57" w:type="dxa"/>
            </w:tcMar>
            <w:vAlign w:val="center"/>
          </w:tcPr>
          <w:p>
            <w:pPr>
              <w:widowControl/>
              <w:snapToGrid w:val="0"/>
              <w:jc w:val="center"/>
              <w:rPr>
                <w:rFonts w:hint="eastAsia" w:ascii="Times New Roman" w:hAnsi="Times New Roman" w:eastAsia="宋体" w:cs="宋体"/>
                <w:kern w:val="0"/>
                <w:sz w:val="20"/>
                <w:szCs w:val="20"/>
                <w:lang w:eastAsia="zh-CN"/>
              </w:rPr>
            </w:pPr>
            <w:r>
              <w:rPr>
                <w:rFonts w:hint="eastAsia" w:cs="宋体"/>
                <w:kern w:val="0"/>
                <w:sz w:val="20"/>
                <w:szCs w:val="20"/>
                <w:lang w:val="en-US" w:eastAsia="zh-CN"/>
              </w:rPr>
              <w:t>无</w:t>
            </w:r>
          </w:p>
        </w:tc>
        <w:tc>
          <w:tcPr>
            <w:tcW w:w="259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《中华人民共和国老年人权益保障法》(2018修订）《江苏省老年人权益保障条例》</w:t>
            </w:r>
          </w:p>
        </w:tc>
        <w:tc>
          <w:tcPr>
            <w:tcW w:w="1180"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679" w:type="dxa"/>
            <w:tcMar>
              <w:left w:w="57" w:type="dxa"/>
              <w:right w:w="57" w:type="dxa"/>
            </w:tcMar>
            <w:vAlign w:val="center"/>
          </w:tcPr>
          <w:p>
            <w:pPr>
              <w:widowControl/>
              <w:numPr>
                <w:ilvl w:val="0"/>
                <w:numId w:val="0"/>
              </w:numPr>
              <w:snapToGrid w:val="0"/>
              <w:ind w:leftChars="0" w:firstLine="200" w:firstLineChars="100"/>
              <w:jc w:val="both"/>
              <w:rPr>
                <w:rFonts w:hint="default" w:ascii="Times New Roman" w:hAnsi="Times New Roman" w:eastAsia="宋体" w:cs="宋体"/>
                <w:kern w:val="0"/>
                <w:sz w:val="20"/>
                <w:szCs w:val="20"/>
                <w:lang w:val="en-US" w:eastAsia="zh-CN"/>
              </w:rPr>
            </w:pPr>
            <w:r>
              <w:rPr>
                <w:rFonts w:hint="eastAsia" w:cs="宋体"/>
                <w:kern w:val="0"/>
                <w:sz w:val="20"/>
                <w:szCs w:val="20"/>
                <w:lang w:val="en-US" w:eastAsia="zh-CN"/>
              </w:rPr>
              <w:t>14</w:t>
            </w:r>
          </w:p>
        </w:tc>
        <w:tc>
          <w:tcPr>
            <w:tcW w:w="724" w:type="dxa"/>
            <w:vMerge w:val="continue"/>
            <w:tcMar>
              <w:left w:w="57" w:type="dxa"/>
              <w:right w:w="57" w:type="dxa"/>
            </w:tcMar>
            <w:vAlign w:val="center"/>
          </w:tcPr>
          <w:p>
            <w:pPr>
              <w:widowControl/>
              <w:snapToGrid w:val="0"/>
              <w:jc w:val="center"/>
              <w:rPr>
                <w:rFonts w:ascii="Times New Roman" w:hAnsi="Times New Roman" w:cs="宋体"/>
                <w:kern w:val="0"/>
                <w:sz w:val="20"/>
                <w:szCs w:val="20"/>
              </w:rPr>
            </w:pPr>
          </w:p>
        </w:tc>
        <w:tc>
          <w:tcPr>
            <w:tcW w:w="896"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公共交通</w:t>
            </w:r>
          </w:p>
        </w:tc>
        <w:tc>
          <w:tcPr>
            <w:tcW w:w="277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县70周岁及以上老年人。</w:t>
            </w:r>
          </w:p>
        </w:tc>
        <w:tc>
          <w:tcPr>
            <w:tcW w:w="2163"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县70周岁及以上老年人享受县免费乘公交车。</w:t>
            </w:r>
          </w:p>
        </w:tc>
        <w:tc>
          <w:tcPr>
            <w:tcW w:w="2459"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老年人本人持身份证原件及复印件1张，一寸近期彩色免冠照片2张，至</w:t>
            </w:r>
            <w:r>
              <w:rPr>
                <w:rFonts w:hint="eastAsia" w:cs="宋体"/>
                <w:kern w:val="0"/>
                <w:sz w:val="20"/>
                <w:szCs w:val="20"/>
                <w:lang w:eastAsia="zh-CN"/>
              </w:rPr>
              <w:t>县政务服务中心一楼大厅</w:t>
            </w:r>
            <w:r>
              <w:rPr>
                <w:rFonts w:hint="eastAsia" w:cs="宋体"/>
                <w:kern w:val="0"/>
                <w:sz w:val="20"/>
                <w:szCs w:val="20"/>
                <w:lang w:val="en-US" w:eastAsia="zh-CN"/>
              </w:rPr>
              <w:t>34号窗口</w:t>
            </w:r>
            <w:r>
              <w:rPr>
                <w:rFonts w:hint="eastAsia" w:ascii="Times New Roman" w:hAnsi="Times New Roman" w:cs="宋体"/>
                <w:kern w:val="0"/>
                <w:sz w:val="20"/>
                <w:szCs w:val="20"/>
              </w:rPr>
              <w:t>，缴纳24元/张卡服务费，办理</w:t>
            </w:r>
            <w:r>
              <w:rPr>
                <w:rFonts w:hint="eastAsia" w:cs="宋体"/>
                <w:kern w:val="0"/>
                <w:sz w:val="20"/>
                <w:szCs w:val="20"/>
                <w:lang w:eastAsia="zh-CN"/>
              </w:rPr>
              <w:t>老年卡</w:t>
            </w:r>
            <w:r>
              <w:rPr>
                <w:rFonts w:hint="eastAsia" w:ascii="Times New Roman" w:hAnsi="Times New Roman" w:cs="宋体"/>
                <w:kern w:val="0"/>
                <w:sz w:val="20"/>
                <w:szCs w:val="20"/>
              </w:rPr>
              <w:t>。</w:t>
            </w:r>
          </w:p>
        </w:tc>
        <w:tc>
          <w:tcPr>
            <w:tcW w:w="1005"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cs="宋体"/>
                <w:kern w:val="0"/>
                <w:sz w:val="20"/>
                <w:szCs w:val="20"/>
                <w:lang w:val="en-US" w:eastAsia="zh-CN"/>
              </w:rPr>
              <w:t>地方</w:t>
            </w:r>
            <w:r>
              <w:rPr>
                <w:rFonts w:hint="eastAsia" w:ascii="Times New Roman" w:hAnsi="Times New Roman" w:cs="宋体"/>
                <w:kern w:val="0"/>
                <w:sz w:val="20"/>
                <w:szCs w:val="20"/>
              </w:rPr>
              <w:t>财政</w:t>
            </w:r>
          </w:p>
        </w:tc>
        <w:tc>
          <w:tcPr>
            <w:tcW w:w="2595" w:type="dxa"/>
            <w:tcMar>
              <w:left w:w="57" w:type="dxa"/>
              <w:right w:w="57" w:type="dxa"/>
            </w:tcMar>
            <w:vAlign w:val="center"/>
          </w:tcPr>
          <w:p>
            <w:pPr>
              <w:widowControl/>
              <w:snapToGrid w:val="0"/>
              <w:jc w:val="left"/>
              <w:rPr>
                <w:rFonts w:ascii="Times New Roman" w:hAnsi="Times New Roman" w:cs="宋体"/>
                <w:kern w:val="0"/>
                <w:sz w:val="20"/>
                <w:szCs w:val="20"/>
              </w:rPr>
            </w:pPr>
            <w:r>
              <w:rPr>
                <w:rFonts w:hint="eastAsia" w:ascii="Times New Roman" w:hAnsi="Times New Roman" w:cs="宋体"/>
                <w:kern w:val="0"/>
                <w:sz w:val="20"/>
                <w:szCs w:val="20"/>
              </w:rPr>
              <w:t>《江苏省老年人权益保障条例》</w:t>
            </w:r>
          </w:p>
        </w:tc>
        <w:tc>
          <w:tcPr>
            <w:tcW w:w="1180" w:type="dxa"/>
            <w:tcMar>
              <w:left w:w="57" w:type="dxa"/>
              <w:right w:w="57" w:type="dxa"/>
            </w:tcMar>
            <w:vAlign w:val="center"/>
          </w:tcPr>
          <w:p>
            <w:pPr>
              <w:widowControl/>
              <w:snapToGrid w:val="0"/>
              <w:jc w:val="center"/>
              <w:rPr>
                <w:rFonts w:ascii="Times New Roman" w:hAnsi="Times New Roman" w:cs="宋体"/>
                <w:kern w:val="0"/>
                <w:sz w:val="20"/>
                <w:szCs w:val="20"/>
              </w:rPr>
            </w:pPr>
            <w:r>
              <w:rPr>
                <w:rFonts w:hint="eastAsia" w:ascii="Times New Roman" w:hAnsi="Times New Roman" w:cs="宋体"/>
                <w:kern w:val="0"/>
                <w:sz w:val="20"/>
                <w:szCs w:val="20"/>
              </w:rPr>
              <w:t>交通局</w:t>
            </w:r>
          </w:p>
        </w:tc>
      </w:tr>
    </w:tbl>
    <w:p>
      <w:pPr>
        <w:shd w:val="clear" w:color="auto" w:fill="FFFFFF"/>
        <w:spacing w:line="560" w:lineRule="exact"/>
        <w:jc w:val="left"/>
        <w:rPr>
          <w:rFonts w:ascii="Times New Roman" w:hAnsi="Times New Roman" w:eastAsia="仿宋" w:cs="仿宋_GB2312"/>
          <w:color w:val="000000"/>
          <w:kern w:val="0"/>
          <w:sz w:val="32"/>
          <w:szCs w:val="32"/>
        </w:rPr>
        <w:sectPr>
          <w:headerReference r:id="rId3" w:type="default"/>
          <w:footerReference r:id="rId4" w:type="default"/>
          <w:footerReference r:id="rId5" w:type="even"/>
          <w:pgSz w:w="16838" w:h="11906" w:orient="landscape"/>
          <w:pgMar w:top="1588" w:right="2098" w:bottom="1474" w:left="1985" w:header="851" w:footer="1418" w:gutter="0"/>
          <w:pgNumType w:fmt="decimal"/>
          <w:cols w:space="720" w:num="1"/>
          <w:docGrid w:type="lines" w:linePitch="490" w:charSpace="0"/>
        </w:sectPr>
      </w:pPr>
    </w:p>
    <w:p>
      <w:pPr>
        <w:spacing w:line="320" w:lineRule="exact"/>
        <w:rPr>
          <w:rFonts w:hint="eastAsia" w:ascii="Times New Roman" w:hAnsi="Times New Roman" w:eastAsia="仿宋_GB2312"/>
          <w:sz w:val="32"/>
          <w:szCs w:val="32"/>
        </w:rPr>
      </w:pPr>
      <w:bookmarkStart w:id="0" w:name="_GoBack"/>
      <w:bookmarkEnd w:id="0"/>
    </w:p>
    <w:sectPr>
      <w:pgSz w:w="11906" w:h="16838"/>
      <w:pgMar w:top="2098" w:right="1474" w:bottom="1985" w:left="1588" w:header="851" w:footer="1418" w:gutter="0"/>
      <w:pgNumType w:fmt="decimal"/>
      <w:cols w:space="720" w:num="1"/>
      <w:docGrid w:type="lines" w:linePitch="4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u0rm24QEAALkDAAAOAAAA&#10;AAAAAAEAIAAAAB4BAABkcnMvZTJvRG9jLnhtbFBLBQYAAAAABgAGAFkBAABxBQAAAAA=&#10;">
              <v:fill on="f" focussize="0,0"/>
              <v:stroke on="f"/>
              <v:imagedata o:title=""/>
              <o:lock v:ext="edit" aspectratio="f"/>
              <v:textbox inset="0mm,0mm,0mm,0mm" style="mso-fit-shape-to-text:t;">
                <w:txbxContent>
                  <w:p>
                    <w:pPr>
                      <w:pStyle w:val="8"/>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3Sr8sBAACcAwAADgAAAGRycy9lMm9Eb2MueG1srVPNjtMwEL4j8Q6W&#10;79Rph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Pt0q/LAQAAnAMAAA4AAAAAAAAAAQAgAAAAHgEAAGRycy9lMm9E&#10;b2MueG1sUEsFBgAAAAAGAAYAWQEAAFsFAAAAAA==&#10;">
              <v:fill on="f" focussize="0,0"/>
              <v:stroke on="f"/>
              <v:imagedata o:title=""/>
              <o:lock v:ext="edit" aspectratio="f"/>
              <v:textbox inset="0mm,0mm,0mm,0mm" style="mso-fit-shape-to-text:t;">
                <w:txbxContent>
                  <w:p>
                    <w:pPr>
                      <w:pStyle w:val="8"/>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180" w:firstLineChars="1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pFrZD4QEAALkDAAAOAAAA&#10;AAAAAAEAIAAAAB4BAABkcnMvZTJvRG9jLnhtbFBLBQYAAAAABgAGAFkBAABxBQAAAAA=&#10;">
              <v:fill on="f" focussize="0,0"/>
              <v:stroke on="f"/>
              <v:imagedata o:title=""/>
              <o:lock v:ext="edit" aspectratio="f"/>
              <v:textbox inset="0mm,0mm,0mm,0mm" style="mso-fit-shape-to-text:t;">
                <w:txbxContent>
                  <w:p>
                    <w:pPr>
                      <w:pStyle w:val="8"/>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3086D"/>
    <w:multiLevelType w:val="multilevel"/>
    <w:tmpl w:val="0453086D"/>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attachedTemplate r:id="rId1"/>
  <w:documentProtection w:enforcement="0"/>
  <w:defaultTabStop w:val="420"/>
  <w:evenAndOddHeaders w:val="1"/>
  <w:drawingGridHorizontalSpacing w:val="105"/>
  <w:drawingGridVerticalSpacing w:val="245"/>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4E0775"/>
    <w:rsid w:val="00000CA3"/>
    <w:rsid w:val="000130C7"/>
    <w:rsid w:val="00015878"/>
    <w:rsid w:val="000368DA"/>
    <w:rsid w:val="00094EB6"/>
    <w:rsid w:val="000A3F83"/>
    <w:rsid w:val="000C1EC5"/>
    <w:rsid w:val="000E2D1B"/>
    <w:rsid w:val="0010520A"/>
    <w:rsid w:val="00136CCD"/>
    <w:rsid w:val="0014736A"/>
    <w:rsid w:val="00150859"/>
    <w:rsid w:val="00156173"/>
    <w:rsid w:val="001714C1"/>
    <w:rsid w:val="001770FC"/>
    <w:rsid w:val="00182EB0"/>
    <w:rsid w:val="001854A3"/>
    <w:rsid w:val="00192B0A"/>
    <w:rsid w:val="001A5959"/>
    <w:rsid w:val="001C5EA1"/>
    <w:rsid w:val="001D6B63"/>
    <w:rsid w:val="001F268F"/>
    <w:rsid w:val="001F46D6"/>
    <w:rsid w:val="001F5115"/>
    <w:rsid w:val="0020673E"/>
    <w:rsid w:val="00214862"/>
    <w:rsid w:val="00216B22"/>
    <w:rsid w:val="00225800"/>
    <w:rsid w:val="0023668E"/>
    <w:rsid w:val="00272DDE"/>
    <w:rsid w:val="0027325F"/>
    <w:rsid w:val="00296148"/>
    <w:rsid w:val="00296892"/>
    <w:rsid w:val="002A477F"/>
    <w:rsid w:val="002A7AD8"/>
    <w:rsid w:val="002F156E"/>
    <w:rsid w:val="002F2E04"/>
    <w:rsid w:val="00333114"/>
    <w:rsid w:val="00342427"/>
    <w:rsid w:val="0035650C"/>
    <w:rsid w:val="0036639D"/>
    <w:rsid w:val="003741CF"/>
    <w:rsid w:val="00384DE2"/>
    <w:rsid w:val="003933C9"/>
    <w:rsid w:val="00396D5F"/>
    <w:rsid w:val="003A258D"/>
    <w:rsid w:val="003B3646"/>
    <w:rsid w:val="003C77C8"/>
    <w:rsid w:val="003D2493"/>
    <w:rsid w:val="00406C62"/>
    <w:rsid w:val="0042094D"/>
    <w:rsid w:val="00422A62"/>
    <w:rsid w:val="00425759"/>
    <w:rsid w:val="004257FA"/>
    <w:rsid w:val="004311D7"/>
    <w:rsid w:val="00442D91"/>
    <w:rsid w:val="004516B9"/>
    <w:rsid w:val="00456BB0"/>
    <w:rsid w:val="00463224"/>
    <w:rsid w:val="00474E77"/>
    <w:rsid w:val="00477EBE"/>
    <w:rsid w:val="004948CA"/>
    <w:rsid w:val="00497777"/>
    <w:rsid w:val="004A2F34"/>
    <w:rsid w:val="004A3BA6"/>
    <w:rsid w:val="004A6A16"/>
    <w:rsid w:val="004A7E21"/>
    <w:rsid w:val="004B52A1"/>
    <w:rsid w:val="004D20B3"/>
    <w:rsid w:val="004E0EFA"/>
    <w:rsid w:val="004E3080"/>
    <w:rsid w:val="004F1AAF"/>
    <w:rsid w:val="00506038"/>
    <w:rsid w:val="00506A67"/>
    <w:rsid w:val="0051034E"/>
    <w:rsid w:val="005120A0"/>
    <w:rsid w:val="00514E6D"/>
    <w:rsid w:val="005239E4"/>
    <w:rsid w:val="0053509F"/>
    <w:rsid w:val="00546963"/>
    <w:rsid w:val="0056148B"/>
    <w:rsid w:val="005862F7"/>
    <w:rsid w:val="00592225"/>
    <w:rsid w:val="005C3952"/>
    <w:rsid w:val="005C5661"/>
    <w:rsid w:val="005D2AD6"/>
    <w:rsid w:val="005D740E"/>
    <w:rsid w:val="005E61A0"/>
    <w:rsid w:val="005E6C49"/>
    <w:rsid w:val="005F05AD"/>
    <w:rsid w:val="0061151C"/>
    <w:rsid w:val="006117A3"/>
    <w:rsid w:val="00620E60"/>
    <w:rsid w:val="00640C85"/>
    <w:rsid w:val="00685AFB"/>
    <w:rsid w:val="00686F6D"/>
    <w:rsid w:val="006A0BF0"/>
    <w:rsid w:val="006A7A9E"/>
    <w:rsid w:val="006D2B71"/>
    <w:rsid w:val="006F198A"/>
    <w:rsid w:val="00700BAB"/>
    <w:rsid w:val="00710BD3"/>
    <w:rsid w:val="00716D75"/>
    <w:rsid w:val="00744B75"/>
    <w:rsid w:val="00761E05"/>
    <w:rsid w:val="0078664E"/>
    <w:rsid w:val="00795890"/>
    <w:rsid w:val="007A050B"/>
    <w:rsid w:val="007C67E3"/>
    <w:rsid w:val="007D464A"/>
    <w:rsid w:val="007E4BA9"/>
    <w:rsid w:val="007E4FCD"/>
    <w:rsid w:val="00815C0E"/>
    <w:rsid w:val="00830146"/>
    <w:rsid w:val="008502A6"/>
    <w:rsid w:val="0089455B"/>
    <w:rsid w:val="008A6B7C"/>
    <w:rsid w:val="008B75E1"/>
    <w:rsid w:val="008C192C"/>
    <w:rsid w:val="008C7DE1"/>
    <w:rsid w:val="008D3308"/>
    <w:rsid w:val="008E1692"/>
    <w:rsid w:val="009137B6"/>
    <w:rsid w:val="00925FD0"/>
    <w:rsid w:val="00937F25"/>
    <w:rsid w:val="00957B58"/>
    <w:rsid w:val="00962557"/>
    <w:rsid w:val="00982F34"/>
    <w:rsid w:val="009868D2"/>
    <w:rsid w:val="00996563"/>
    <w:rsid w:val="009A2516"/>
    <w:rsid w:val="009B0167"/>
    <w:rsid w:val="009D440D"/>
    <w:rsid w:val="009D7BFE"/>
    <w:rsid w:val="009E5D71"/>
    <w:rsid w:val="009E7E4E"/>
    <w:rsid w:val="009F2003"/>
    <w:rsid w:val="00A2728E"/>
    <w:rsid w:val="00A36AB6"/>
    <w:rsid w:val="00A36CBD"/>
    <w:rsid w:val="00A44772"/>
    <w:rsid w:val="00A45CC1"/>
    <w:rsid w:val="00AC71B6"/>
    <w:rsid w:val="00AE16D9"/>
    <w:rsid w:val="00AE540D"/>
    <w:rsid w:val="00AE543C"/>
    <w:rsid w:val="00AF79D2"/>
    <w:rsid w:val="00B91374"/>
    <w:rsid w:val="00C249D3"/>
    <w:rsid w:val="00C25790"/>
    <w:rsid w:val="00C501B9"/>
    <w:rsid w:val="00C52CDA"/>
    <w:rsid w:val="00C75971"/>
    <w:rsid w:val="00CB68E7"/>
    <w:rsid w:val="00CC243F"/>
    <w:rsid w:val="00CD7AD9"/>
    <w:rsid w:val="00CE5A55"/>
    <w:rsid w:val="00CF1905"/>
    <w:rsid w:val="00CF22FC"/>
    <w:rsid w:val="00CF2B37"/>
    <w:rsid w:val="00D05017"/>
    <w:rsid w:val="00D15BAB"/>
    <w:rsid w:val="00D2206C"/>
    <w:rsid w:val="00D4231B"/>
    <w:rsid w:val="00D4689B"/>
    <w:rsid w:val="00D47A12"/>
    <w:rsid w:val="00D700DA"/>
    <w:rsid w:val="00DA47FB"/>
    <w:rsid w:val="00DF4A09"/>
    <w:rsid w:val="00E04FFF"/>
    <w:rsid w:val="00E06614"/>
    <w:rsid w:val="00E16180"/>
    <w:rsid w:val="00E21D73"/>
    <w:rsid w:val="00E23948"/>
    <w:rsid w:val="00E70BCE"/>
    <w:rsid w:val="00E752BC"/>
    <w:rsid w:val="00E769C9"/>
    <w:rsid w:val="00E83CAF"/>
    <w:rsid w:val="00E90E2E"/>
    <w:rsid w:val="00E936B6"/>
    <w:rsid w:val="00EA19D4"/>
    <w:rsid w:val="00EA31D8"/>
    <w:rsid w:val="00EC0B1B"/>
    <w:rsid w:val="00EE70D3"/>
    <w:rsid w:val="00EF5FF8"/>
    <w:rsid w:val="00F027F3"/>
    <w:rsid w:val="00F8335F"/>
    <w:rsid w:val="00FD5003"/>
    <w:rsid w:val="00FF74B7"/>
    <w:rsid w:val="019E4C02"/>
    <w:rsid w:val="01C444B2"/>
    <w:rsid w:val="032C638C"/>
    <w:rsid w:val="04334A5C"/>
    <w:rsid w:val="07D46FBE"/>
    <w:rsid w:val="08652957"/>
    <w:rsid w:val="08F041C8"/>
    <w:rsid w:val="093F7EA9"/>
    <w:rsid w:val="0A0F219C"/>
    <w:rsid w:val="0C6A27C4"/>
    <w:rsid w:val="0C830A44"/>
    <w:rsid w:val="0E5619D4"/>
    <w:rsid w:val="0F281F71"/>
    <w:rsid w:val="11D67C63"/>
    <w:rsid w:val="12DF2EC5"/>
    <w:rsid w:val="141E2358"/>
    <w:rsid w:val="142479D2"/>
    <w:rsid w:val="14B81906"/>
    <w:rsid w:val="18C1674F"/>
    <w:rsid w:val="1A5166A9"/>
    <w:rsid w:val="1DFC52AB"/>
    <w:rsid w:val="1E125830"/>
    <w:rsid w:val="1E2360D9"/>
    <w:rsid w:val="20BC1318"/>
    <w:rsid w:val="21041298"/>
    <w:rsid w:val="28A53CE5"/>
    <w:rsid w:val="28C35ADE"/>
    <w:rsid w:val="296624B0"/>
    <w:rsid w:val="2BDC7A34"/>
    <w:rsid w:val="2C525695"/>
    <w:rsid w:val="2CA933F3"/>
    <w:rsid w:val="2D515791"/>
    <w:rsid w:val="2DBC4126"/>
    <w:rsid w:val="2F0D1FAC"/>
    <w:rsid w:val="30C1775F"/>
    <w:rsid w:val="31856628"/>
    <w:rsid w:val="326B4FB5"/>
    <w:rsid w:val="35E3690C"/>
    <w:rsid w:val="36725A28"/>
    <w:rsid w:val="38CA7D84"/>
    <w:rsid w:val="39047DB5"/>
    <w:rsid w:val="39205D37"/>
    <w:rsid w:val="394F779B"/>
    <w:rsid w:val="3D651934"/>
    <w:rsid w:val="3EEC588C"/>
    <w:rsid w:val="418D5F9F"/>
    <w:rsid w:val="41D411BE"/>
    <w:rsid w:val="43D42A9A"/>
    <w:rsid w:val="456A3A1D"/>
    <w:rsid w:val="474E0775"/>
    <w:rsid w:val="4789367B"/>
    <w:rsid w:val="480B356C"/>
    <w:rsid w:val="48114B30"/>
    <w:rsid w:val="48911EBF"/>
    <w:rsid w:val="48EA012A"/>
    <w:rsid w:val="4A1F686E"/>
    <w:rsid w:val="4B8A7395"/>
    <w:rsid w:val="4C225C90"/>
    <w:rsid w:val="4D1635D7"/>
    <w:rsid w:val="4D3C4C06"/>
    <w:rsid w:val="4D5458EE"/>
    <w:rsid w:val="50C03A45"/>
    <w:rsid w:val="50C37923"/>
    <w:rsid w:val="51F62460"/>
    <w:rsid w:val="53316556"/>
    <w:rsid w:val="53E1620C"/>
    <w:rsid w:val="553103CA"/>
    <w:rsid w:val="55CB0898"/>
    <w:rsid w:val="56E66797"/>
    <w:rsid w:val="579A57AC"/>
    <w:rsid w:val="58902535"/>
    <w:rsid w:val="58A74D44"/>
    <w:rsid w:val="5AF35882"/>
    <w:rsid w:val="5EA31F47"/>
    <w:rsid w:val="60F728E8"/>
    <w:rsid w:val="68CF4F5D"/>
    <w:rsid w:val="6D0B5C96"/>
    <w:rsid w:val="6E930EEF"/>
    <w:rsid w:val="7279717F"/>
    <w:rsid w:val="74302583"/>
    <w:rsid w:val="74915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qFormat="1"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6" w:lineRule="auto"/>
      <w:outlineLvl w:val="0"/>
    </w:pPr>
    <w:rPr>
      <w:b/>
      <w:bCs/>
      <w:kern w:val="44"/>
      <w:sz w:val="44"/>
      <w:szCs w:val="44"/>
    </w:rPr>
  </w:style>
  <w:style w:type="paragraph" w:styleId="3">
    <w:name w:val="heading 3"/>
    <w:basedOn w:val="1"/>
    <w:next w:val="1"/>
    <w:link w:val="18"/>
    <w:qFormat/>
    <w:uiPriority w:val="99"/>
    <w:pPr>
      <w:keepNext/>
      <w:jc w:val="center"/>
      <w:outlineLvl w:val="2"/>
    </w:pPr>
    <w:rPr>
      <w:rFonts w:eastAsia="微软雅黑"/>
      <w:b/>
      <w:bCs/>
      <w:color w:val="FF0000"/>
      <w:kern w:val="0"/>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Indent"/>
    <w:basedOn w:val="1"/>
    <w:link w:val="19"/>
    <w:qFormat/>
    <w:uiPriority w:val="99"/>
    <w:pPr>
      <w:ind w:firstLine="640" w:firstLineChars="200"/>
    </w:pPr>
    <w:rPr>
      <w:rFonts w:eastAsia="仿宋_GB2312"/>
      <w:sz w:val="32"/>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link w:val="20"/>
    <w:qFormat/>
    <w:uiPriority w:val="99"/>
    <w:pPr>
      <w:spacing w:line="500" w:lineRule="exact"/>
      <w:ind w:firstLine="879"/>
    </w:pPr>
    <w:rPr>
      <w:rFonts w:ascii="仿宋_GB2312" w:eastAsia="仿宋_GB2312"/>
      <w:sz w:val="32"/>
      <w:szCs w:val="32"/>
    </w:rPr>
  </w:style>
  <w:style w:type="paragraph" w:styleId="7">
    <w:name w:val="Balloon Text"/>
    <w:basedOn w:val="1"/>
    <w:semiHidden/>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link w:val="23"/>
    <w:unhideWhenUsed/>
    <w:qFormat/>
    <w:uiPriority w:val="99"/>
    <w:pPr>
      <w:spacing w:before="100" w:beforeAutospacing="1" w:after="120"/>
      <w:ind w:left="420" w:leftChars="200"/>
    </w:pPr>
    <w:rPr>
      <w:sz w:val="16"/>
      <w:szCs w:val="16"/>
    </w:rPr>
  </w:style>
  <w:style w:type="paragraph" w:styleId="11">
    <w:name w:val="Normal (Web)"/>
    <w:basedOn w:val="1"/>
    <w:qFormat/>
    <w:uiPriority w:val="0"/>
    <w:pPr>
      <w:widowControl/>
      <w:spacing w:before="100" w:beforeAutospacing="1" w:after="100" w:afterAutospacing="1"/>
      <w:jc w:val="left"/>
    </w:pPr>
    <w:rPr>
      <w:rFonts w:ascii="宋体" w:hAnsi="宋体"/>
      <w:kern w:val="0"/>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character" w:styleId="16">
    <w:name w:val="Hyperlink"/>
    <w:basedOn w:val="14"/>
    <w:qFormat/>
    <w:uiPriority w:val="0"/>
    <w:rPr>
      <w:color w:val="0000FF"/>
      <w:u w:val="single"/>
    </w:rPr>
  </w:style>
  <w:style w:type="character" w:customStyle="1" w:styleId="17">
    <w:name w:val="标题 1 Char"/>
    <w:link w:val="2"/>
    <w:qFormat/>
    <w:uiPriority w:val="99"/>
    <w:rPr>
      <w:b/>
      <w:bCs/>
      <w:kern w:val="44"/>
      <w:sz w:val="44"/>
      <w:szCs w:val="44"/>
    </w:rPr>
  </w:style>
  <w:style w:type="character" w:customStyle="1" w:styleId="18">
    <w:name w:val="标题 3 Char"/>
    <w:link w:val="3"/>
    <w:qFormat/>
    <w:uiPriority w:val="99"/>
    <w:rPr>
      <w:rFonts w:eastAsia="微软雅黑"/>
      <w:b/>
      <w:bCs/>
      <w:color w:val="FF0000"/>
      <w:sz w:val="28"/>
      <w:szCs w:val="28"/>
    </w:rPr>
  </w:style>
  <w:style w:type="character" w:customStyle="1" w:styleId="19">
    <w:name w:val="正文文本缩进 Char"/>
    <w:link w:val="4"/>
    <w:qFormat/>
    <w:uiPriority w:val="99"/>
    <w:rPr>
      <w:rFonts w:eastAsia="仿宋_GB2312"/>
      <w:kern w:val="2"/>
      <w:sz w:val="32"/>
      <w:szCs w:val="24"/>
    </w:rPr>
  </w:style>
  <w:style w:type="character" w:customStyle="1" w:styleId="20">
    <w:name w:val="正文文本缩进 2 Char"/>
    <w:link w:val="6"/>
    <w:qFormat/>
    <w:uiPriority w:val="99"/>
    <w:rPr>
      <w:rFonts w:ascii="仿宋_GB2312" w:eastAsia="仿宋_GB2312"/>
      <w:kern w:val="2"/>
      <w:sz w:val="32"/>
      <w:szCs w:val="32"/>
    </w:rPr>
  </w:style>
  <w:style w:type="character" w:customStyle="1" w:styleId="21">
    <w:name w:val="页脚 Char"/>
    <w:link w:val="8"/>
    <w:qFormat/>
    <w:uiPriority w:val="99"/>
    <w:rPr>
      <w:kern w:val="2"/>
      <w:sz w:val="18"/>
      <w:szCs w:val="18"/>
    </w:rPr>
  </w:style>
  <w:style w:type="character" w:customStyle="1" w:styleId="22">
    <w:name w:val="页眉 Char"/>
    <w:link w:val="9"/>
    <w:qFormat/>
    <w:uiPriority w:val="99"/>
    <w:rPr>
      <w:kern w:val="2"/>
      <w:sz w:val="18"/>
      <w:szCs w:val="18"/>
    </w:rPr>
  </w:style>
  <w:style w:type="character" w:customStyle="1" w:styleId="23">
    <w:name w:val="正文文本缩进 3 Char"/>
    <w:link w:val="10"/>
    <w:qFormat/>
    <w:uiPriority w:val="99"/>
    <w:rPr>
      <w:kern w:val="2"/>
      <w:sz w:val="16"/>
      <w:szCs w:val="16"/>
    </w:rPr>
  </w:style>
  <w:style w:type="character" w:customStyle="1" w:styleId="24">
    <w:name w:val="16"/>
    <w:qFormat/>
    <w:uiPriority w:val="0"/>
    <w:rPr>
      <w:rFonts w:hint="default" w:ascii="Calibri" w:hAnsi="Calibri"/>
    </w:rPr>
  </w:style>
  <w:style w:type="character" w:customStyle="1" w:styleId="25">
    <w:name w:val="15"/>
    <w:qFormat/>
    <w:uiPriority w:val="0"/>
    <w:rPr>
      <w:rFonts w:hint="default" w:ascii="Calibri" w:hAnsi="Calibri"/>
    </w:rPr>
  </w:style>
  <w:style w:type="character" w:customStyle="1" w:styleId="26">
    <w:name w:val="10"/>
    <w:qFormat/>
    <w:uiPriority w:val="0"/>
    <w:rPr>
      <w:rFonts w:hint="default" w:ascii="Calibri" w:hAnsi="Calibri"/>
    </w:rPr>
  </w:style>
  <w:style w:type="paragraph" w:customStyle="1" w:styleId="27">
    <w:name w:val="p0"/>
    <w:basedOn w:val="1"/>
    <w:qFormat/>
    <w:uiPriority w:val="0"/>
    <w:pPr>
      <w:widowControl/>
      <w:spacing w:before="100" w:beforeAutospacing="1" w:after="100" w:afterAutospacing="1"/>
      <w:jc w:val="left"/>
    </w:pPr>
    <w:rPr>
      <w:rFonts w:ascii="宋体" w:hAnsi="宋体"/>
      <w:kern w:val="0"/>
      <w:sz w:val="24"/>
    </w:rPr>
  </w:style>
  <w:style w:type="paragraph" w:customStyle="1" w:styleId="28">
    <w:name w:val="List Paragraph"/>
    <w:basedOn w:val="1"/>
    <w:qFormat/>
    <w:uiPriority w:val="0"/>
    <w:pPr>
      <w:widowControl/>
      <w:spacing w:before="100" w:beforeAutospacing="1" w:after="100" w:afterAutospacing="1"/>
      <w:ind w:left="720" w:firstLine="440" w:firstLineChars="200"/>
      <w:contextualSpacing/>
      <w:jc w:val="left"/>
    </w:pPr>
    <w:rPr>
      <w:rFonts w:ascii="Calibri" w:hAnsi="Calibri" w:eastAsia="微软雅黑"/>
      <w:kern w:val="0"/>
      <w:sz w:val="20"/>
      <w:szCs w:val="20"/>
    </w:rPr>
  </w:style>
  <w:style w:type="paragraph" w:customStyle="1" w:styleId="29">
    <w:name w:val="三级标题"/>
    <w:basedOn w:val="3"/>
    <w:qFormat/>
    <w:uiPriority w:val="0"/>
    <w:pPr>
      <w:spacing w:beforeLines="50" w:afterLines="50" w:line="273" w:lineRule="auto"/>
      <w:jc w:val="left"/>
    </w:pPr>
    <w:rPr>
      <w:rFonts w:ascii="微软雅黑" w:hAnsi="微软雅黑"/>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ocuments\WeChat%20Files\wxid_7lnns1m72kyg21\FileStorage\File\2021-06\&#28748;&#27665;&#21457;&#12308;2021&#12309;28&#21495;-&#20851;&#20110;&#21360;&#21457;&#12298;&#28748;&#20113;&#21439;&#22522;&#26412;&#20859;&#32769;&#20844;&#20849;&#26381;&#21153;&#25351;&#23548;&#24615;&#30446;&#24405;&#12299;&#30340;&#36890;&#30693;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灌民发〔2021〕28号-关于印发《灌云县基本养老公共服务指导性目录》的通知1.dotx</Template>
  <Pages>10</Pages>
  <Words>3748</Words>
  <Characters>3961</Characters>
  <Lines>32</Lines>
  <Paragraphs>9</Paragraphs>
  <TotalTime>12</TotalTime>
  <ScaleCrop>false</ScaleCrop>
  <LinksUpToDate>false</LinksUpToDate>
  <CharactersWithSpaces>4181</CharactersWithSpaces>
  <Application>WPS Office_11.1.0.10950_F1E327BC-269C-435d-A152-05C5408002CA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2021-06-24T02:03:00Z</dcterms:created>
  <dc:creator>愿风裁尘</dc:creator>
  <cp:lastModifiedBy>Administrator</cp:lastModifiedBy>
  <cp:lastPrinted>2021-07-08T01:39:00Z</cp:lastPrinted>
  <dcterms:modified xsi:type="dcterms:W3CDTF">2022-02-17T03:30:56Z</dcterms:modified>
  <dc:title>连云港市“安全生产基础年”活动方案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2052-11.1.0.10950</vt:lpwstr>
  </property>
  <property fmtid="{D5CDD505-2E9C-101B-9397-08002B2CF9AE}" pid="3" name="ICV">
    <vt:lpwstr>8402E9592D2042F0B86F843AF043F875</vt:lpwstr>
  </property>
</Properties>
</file>