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val="0"/>
        <w:snapToGrid w:val="0"/>
        <w:spacing w:before="210" w:beforeAutospacing="0" w:after="210" w:afterAutospacing="0" w:line="540" w:lineRule="exact"/>
        <w:ind w:left="-315" w:leftChars="-150" w:right="-315" w:rightChars="-150"/>
        <w:jc w:val="center"/>
        <w:textAlignment w:val="top"/>
        <w:rPr>
          <w:rFonts w:hint="eastAsia" w:ascii="方正小标宋_GBK" w:hAnsi="方正小标宋_GBK" w:eastAsia="方正小标宋_GBK" w:cs="方正小标宋_GBK"/>
          <w:sz w:val="44"/>
          <w:szCs w:val="44"/>
          <w:lang w:val="en-US" w:eastAsia="zh-CN"/>
        </w:rPr>
      </w:pPr>
      <w:bookmarkStart w:id="0" w:name="_GoBack"/>
      <w:r>
        <w:rPr>
          <w:rFonts w:hint="eastAsia" w:ascii="方正小标宋_GBK" w:hAnsi="方正小标宋_GBK" w:eastAsia="方正小标宋_GBK" w:cs="方正小标宋_GBK"/>
          <w:sz w:val="44"/>
          <w:szCs w:val="44"/>
          <w:lang w:val="en-US" w:eastAsia="zh-CN"/>
        </w:rPr>
        <w:t>灌云县民政局轻微违法行为不予行政处罚、减轻行政处罚清单</w:t>
      </w:r>
    </w:p>
    <w:bookmarkEnd w:id="0"/>
    <w:tbl>
      <w:tblPr>
        <w:tblStyle w:val="5"/>
        <w:tblW w:w="15633" w:type="dxa"/>
        <w:jc w:val="center"/>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
      <w:tblGrid>
        <w:gridCol w:w="928"/>
        <w:gridCol w:w="2560"/>
        <w:gridCol w:w="1896"/>
        <w:gridCol w:w="8393"/>
        <w:gridCol w:w="928"/>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730" w:hRule="atLeast"/>
          <w:jc w:val="center"/>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违法行为（列举）</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不予处罚条件</w:t>
            </w:r>
          </w:p>
        </w:tc>
        <w:tc>
          <w:tcPr>
            <w:tcW w:w="8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法律依据</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实施主体</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责任主体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3399"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对擅自进行地名命名、更名的处罚</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首次擅自进行地名命名、更名的</w:t>
            </w:r>
          </w:p>
        </w:tc>
        <w:tc>
          <w:tcPr>
            <w:tcW w:w="8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【地方性法规】《江苏省地名管理条例》</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第十三条 地名的命名、更名，应当按照规定的程序进行申报与办理。任何单位和个人不得擅自命名、更名。</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 xml:space="preserve">   第十四条 自然地理实体名称的命名、更名，按照下列权限办理：</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 xml:space="preserve"> （二）涉及本省两个以上设区的市的自然地理实体名称，由相关设区的市人民政府协商一致后，报省人民政府批准；</w:t>
            </w:r>
            <w:r>
              <w:rPr>
                <w:rFonts w:hint="default" w:ascii="Times New Roman" w:hAnsi="Times New Roman" w:eastAsia="宋体" w:cs="Times New Roman"/>
                <w:i w:val="0"/>
                <w:iCs w:val="0"/>
                <w:color w:val="000000"/>
                <w:kern w:val="0"/>
                <w:sz w:val="22"/>
                <w:szCs w:val="22"/>
                <w:u w:val="none"/>
                <w:lang w:val="en-US" w:eastAsia="zh-CN" w:bidi="ar"/>
              </w:rPr>
              <w:br w:type="textWrapping"/>
            </w:r>
            <w:r>
              <w:rPr>
                <w:rFonts w:hint="default" w:ascii="Times New Roman" w:hAnsi="Times New Roman" w:eastAsia="宋体" w:cs="Times New Roman"/>
                <w:i w:val="0"/>
                <w:iCs w:val="0"/>
                <w:color w:val="000000"/>
                <w:kern w:val="0"/>
                <w:sz w:val="22"/>
                <w:szCs w:val="22"/>
                <w:u w:val="none"/>
                <w:lang w:val="en-US" w:eastAsia="zh-CN" w:bidi="ar"/>
              </w:rPr>
              <w:t xml:space="preserve">   第四十五条 违反本条例第十三条规定，擅自对地名命名、更名的，由地名主管部门或者专业主管部门责令限期改正，并可以处二千元以上一万元以下罚款；情节严重的，处一万元以上三万元以下罚款。</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灌云县民政局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1981"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对擅自编制行政区域界线详图，或者绘制的地图的行政区域界线的画法与行政区域界线详图的画法不一致的处罚</w:t>
            </w:r>
          </w:p>
        </w:tc>
        <w:tc>
          <w:tcPr>
            <w:tcW w:w="1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首次擅自编制行政区域界线详图的，没收违法所得，免于罚款</w:t>
            </w:r>
          </w:p>
        </w:tc>
        <w:tc>
          <w:tcPr>
            <w:tcW w:w="8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【行政法规】《行政区域界线管理条例》（国务院令第353号）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firstLine="440" w:firstLineChars="20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第十八条  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灌云县民政局</w:t>
            </w:r>
          </w:p>
        </w:tc>
      </w:tr>
    </w:tbl>
    <w:p>
      <w:pPr>
        <w:keepNext w:val="0"/>
        <w:keepLines w:val="0"/>
        <w:pageBreakBefore w:val="0"/>
        <w:widowControl/>
        <w:suppressLineNumbers w:val="0"/>
        <w:kinsoku/>
        <w:overflowPunct/>
        <w:topLinePunct w:val="0"/>
        <w:autoSpaceDE/>
        <w:autoSpaceDN/>
        <w:bidi w:val="0"/>
        <w:adjustRightInd w:val="0"/>
        <w:snapToGrid w:val="0"/>
        <w:spacing w:line="540" w:lineRule="exact"/>
        <w:ind w:right="-315" w:rightChars="-150"/>
        <w:jc w:val="both"/>
        <w:textAlignment w:val="center"/>
        <w:rPr>
          <w:rFonts w:hint="default" w:ascii="Times New Roman" w:hAnsi="Times New Roman" w:eastAsia="宋体" w:cs="Times New Roman"/>
          <w:b/>
          <w:bCs/>
          <w:i w:val="0"/>
          <w:iCs w:val="0"/>
          <w:color w:val="000000"/>
          <w:kern w:val="0"/>
          <w:sz w:val="22"/>
          <w:szCs w:val="22"/>
          <w:u w:val="none"/>
          <w:lang w:val="en-US" w:eastAsia="zh-CN" w:bidi="ar"/>
        </w:rPr>
      </w:pPr>
    </w:p>
    <w:tbl>
      <w:tblPr>
        <w:tblStyle w:val="5"/>
        <w:tblW w:w="15633" w:type="dxa"/>
        <w:jc w:val="center"/>
        <w:tblInd w:w="3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
      <w:tblGrid>
        <w:gridCol w:w="928"/>
        <w:gridCol w:w="2218"/>
        <w:gridCol w:w="2169"/>
        <w:gridCol w:w="8462"/>
        <w:gridCol w:w="928"/>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743"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违法行为（列举）</w:t>
            </w:r>
          </w:p>
        </w:tc>
        <w:tc>
          <w:tcPr>
            <w:tcW w:w="2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减轻处罚条件</w:t>
            </w:r>
          </w:p>
        </w:tc>
        <w:tc>
          <w:tcPr>
            <w:tcW w:w="84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法律依据</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实施主体</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责任主体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2781"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2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对社会团体申请登记时弄虚作假，骗取登记的，或者自取得《社会团体法人登记证书》之日起1年未开展活动的</w:t>
            </w:r>
          </w:p>
        </w:tc>
        <w:tc>
          <w:tcPr>
            <w:tcW w:w="2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主动开展正常工作，并减轻因《社会团体法人登记证书》发证之日起1年未开展活动的违法行为的危害后果</w:t>
            </w:r>
          </w:p>
        </w:tc>
        <w:tc>
          <w:tcPr>
            <w:tcW w:w="84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eastAsia" w:ascii="Times New Roman" w:hAnsi="Times New Roman"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【行政法规】《社会团体登记管理条例》</w:t>
            </w:r>
            <w:r>
              <w:rPr>
                <w:rFonts w:hint="eastAsia" w:ascii="Times New Roman" w:hAnsi="Times New Roman" w:cs="Times New Roman"/>
                <w:i w:val="0"/>
                <w:iCs w:val="0"/>
                <w:color w:val="000000"/>
                <w:kern w:val="0"/>
                <w:sz w:val="22"/>
                <w:szCs w:val="22"/>
                <w:u w:val="none"/>
                <w:lang w:val="en-US" w:eastAsia="zh-CN" w:bidi="ar"/>
              </w:rPr>
              <w:t>（</w:t>
            </w:r>
            <w:r>
              <w:rPr>
                <w:rFonts w:hint="eastAsia" w:ascii="Times New Roman" w:hAnsi="Times New Roman" w:eastAsia="宋体" w:cs="Times New Roman"/>
                <w:i w:val="0"/>
                <w:iCs w:val="0"/>
                <w:color w:val="000000"/>
                <w:kern w:val="0"/>
                <w:sz w:val="22"/>
                <w:szCs w:val="22"/>
                <w:u w:val="none"/>
                <w:lang w:val="en-US" w:eastAsia="zh-CN" w:bidi="ar"/>
              </w:rPr>
              <w:t>国务院令第250号</w:t>
            </w:r>
            <w:r>
              <w:rPr>
                <w:rFonts w:hint="eastAsia" w:ascii="Times New Roman" w:hAnsi="Times New Roman" w:cs="Times New Roman"/>
                <w:i w:val="0"/>
                <w:iCs w:val="0"/>
                <w:color w:val="000000"/>
                <w:kern w:val="0"/>
                <w:sz w:val="22"/>
                <w:szCs w:val="22"/>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firstLine="440" w:firstLineChars="20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第二十九条  社会团体在申请登记时弄虚作假，骗取登记的，或者自取得《社会团体法人登记证书》之日起１年未开展活动的，由登记管理机关予以撤销登记。                                   </w:t>
            </w:r>
            <w:r>
              <w:rPr>
                <w:rFonts w:hint="eastAsia" w:ascii="Times New Roman" w:hAnsi="Times New Roman" w:eastAsia="宋体" w:cs="Times New Roman"/>
                <w:b/>
                <w:bCs/>
                <w:i w:val="0"/>
                <w:iCs w:val="0"/>
                <w:color w:val="000000"/>
                <w:kern w:val="0"/>
                <w:sz w:val="22"/>
                <w:szCs w:val="22"/>
                <w:u w:val="none"/>
                <w:lang w:val="en-US" w:eastAsia="zh-CN" w:bidi="ar"/>
              </w:rPr>
              <w:t>从轻处罚依据：</w:t>
            </w:r>
            <w:r>
              <w:rPr>
                <w:rFonts w:hint="eastAsia" w:ascii="Times New Roman" w:hAnsi="Times New Roman" w:eastAsia="宋体" w:cs="Times New Roman"/>
                <w:i w:val="0"/>
                <w:iCs w:val="0"/>
                <w:color w:val="000000"/>
                <w:kern w:val="0"/>
                <w:sz w:val="22"/>
                <w:szCs w:val="22"/>
                <w:u w:val="none"/>
                <w:lang w:val="en-US" w:eastAsia="zh-CN" w:bidi="ar"/>
              </w:rPr>
              <w:t>《行政处罚法》第三十三条违 法行为轻微并及时改正，没有造成危害后果的，不</w:t>
            </w:r>
            <w:r>
              <w:rPr>
                <w:rFonts w:hint="eastAsia" w:ascii="Times New Roman" w:hAnsi="Times New Roman"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予行政处罚。初次违法且危害后果轻微并及时改正的，可以不予行政处罚。</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780"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w:t>
            </w:r>
          </w:p>
        </w:tc>
        <w:tc>
          <w:tcPr>
            <w:tcW w:w="2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对未经登记以及被撤销登记的县属民办非企业单位，擅自以及继续以县属民办非企业单位名义进行活动的</w:t>
            </w:r>
          </w:p>
        </w:tc>
        <w:tc>
          <w:tcPr>
            <w:tcW w:w="2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主动停止并消除或者减轻因擅自以及继续以县属民办非企业单位名义进行活动违法活动后果</w:t>
            </w:r>
          </w:p>
        </w:tc>
        <w:tc>
          <w:tcPr>
            <w:tcW w:w="84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eastAsia" w:ascii="Times New Roman" w:hAnsi="Times New Roman"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【行政法规】《民办非企业单位登记管理暂行条例》</w:t>
            </w:r>
            <w:r>
              <w:rPr>
                <w:rFonts w:hint="eastAsia" w:ascii="Times New Roman" w:hAnsi="Times New Roman" w:cs="Times New Roman"/>
                <w:i w:val="0"/>
                <w:iCs w:val="0"/>
                <w:color w:val="000000"/>
                <w:kern w:val="0"/>
                <w:sz w:val="22"/>
                <w:szCs w:val="22"/>
                <w:u w:val="none"/>
                <w:lang w:val="en-US" w:eastAsia="zh-CN" w:bidi="ar"/>
              </w:rPr>
              <w:t>（</w:t>
            </w:r>
            <w:r>
              <w:rPr>
                <w:rFonts w:hint="eastAsia" w:ascii="Times New Roman" w:hAnsi="Times New Roman" w:eastAsia="宋体" w:cs="Times New Roman"/>
                <w:i w:val="0"/>
                <w:iCs w:val="0"/>
                <w:color w:val="000000"/>
                <w:kern w:val="0"/>
                <w:sz w:val="22"/>
                <w:szCs w:val="22"/>
                <w:u w:val="none"/>
                <w:lang w:val="en-US" w:eastAsia="zh-CN" w:bidi="ar"/>
              </w:rPr>
              <w:t>国务院令第251号</w:t>
            </w:r>
            <w:r>
              <w:rPr>
                <w:rFonts w:hint="eastAsia" w:ascii="Times New Roman" w:hAnsi="Times New Roman" w:cs="Times New Roman"/>
                <w:i w:val="0"/>
                <w:iCs w:val="0"/>
                <w:color w:val="000000"/>
                <w:kern w:val="0"/>
                <w:sz w:val="22"/>
                <w:szCs w:val="22"/>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firstLine="440" w:firstLineChars="20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第二十七条  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【规章】《取缔非法民间组织暂行办法》（民政部令第21号） </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firstLine="440" w:firstLineChars="20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第三条  社会团体和民办非企业单位登记管理机关（以下统称登记管理机关）负责对非法民间组织进行调查，收集有关证据，依法作出取缔决定，没收其非法财产。</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从轻处罚依据：</w:t>
            </w:r>
            <w:r>
              <w:rPr>
                <w:rFonts w:hint="eastAsia" w:ascii="Times New Roman" w:hAnsi="Times New Roman" w:eastAsia="宋体" w:cs="Times New Roman"/>
                <w:i w:val="0"/>
                <w:iCs w:val="0"/>
                <w:color w:val="000000"/>
                <w:kern w:val="0"/>
                <w:sz w:val="22"/>
                <w:szCs w:val="22"/>
                <w:u w:val="none"/>
                <w:lang w:val="en-US" w:eastAsia="zh-CN" w:bidi="ar"/>
              </w:rPr>
              <w:t>《行政处罚法》第三十三条违 法行为轻微并及时改正，没有造成危害后果的，不予行政处罚。初次违法且危害后果轻微 并及时改正的，可以不予行政处罚。</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1004"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违法行为（列举）</w:t>
            </w:r>
          </w:p>
        </w:tc>
        <w:tc>
          <w:tcPr>
            <w:tcW w:w="2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减轻处罚条件</w:t>
            </w:r>
          </w:p>
        </w:tc>
        <w:tc>
          <w:tcPr>
            <w:tcW w:w="84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法律依据</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实施主体</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责任主体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4079" w:hRule="atLeast"/>
          <w:jc w:val="center"/>
        </w:trPr>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2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对筹备期间开展筹备以外活动、未经登记，擅自以社会团体名义进行活动、被撤销登记的社会团体继续以社会团体名义进行活动的</w:t>
            </w:r>
          </w:p>
        </w:tc>
        <w:tc>
          <w:tcPr>
            <w:tcW w:w="21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主动停止以及主动消除或者减轻对筹备期间开展筹备以外的活动，未经登记，擅自以社会团体名义进行活动、被撤销登记的社会团体继续以社会团体名义进行违法活动危害后果</w:t>
            </w:r>
          </w:p>
        </w:tc>
        <w:tc>
          <w:tcPr>
            <w:tcW w:w="84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eastAsia" w:ascii="Times New Roman" w:hAnsi="Times New Roman"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【行政法规】《社会团体登记管理条例》</w:t>
            </w:r>
            <w:r>
              <w:rPr>
                <w:rFonts w:hint="eastAsia" w:ascii="Times New Roman" w:hAnsi="Times New Roman" w:cs="Times New Roman"/>
                <w:i w:val="0"/>
                <w:iCs w:val="0"/>
                <w:color w:val="000000"/>
                <w:kern w:val="0"/>
                <w:sz w:val="22"/>
                <w:szCs w:val="22"/>
                <w:u w:val="none"/>
                <w:lang w:val="en-US" w:eastAsia="zh-CN" w:bidi="ar"/>
              </w:rPr>
              <w:t>（</w:t>
            </w:r>
            <w:r>
              <w:rPr>
                <w:rFonts w:hint="eastAsia" w:ascii="Times New Roman" w:hAnsi="Times New Roman" w:eastAsia="宋体" w:cs="Times New Roman"/>
                <w:i w:val="0"/>
                <w:iCs w:val="0"/>
                <w:color w:val="000000"/>
                <w:kern w:val="0"/>
                <w:sz w:val="22"/>
                <w:szCs w:val="22"/>
                <w:u w:val="none"/>
                <w:lang w:val="en-US" w:eastAsia="zh-CN" w:bidi="ar"/>
              </w:rPr>
              <w:t>国务院令第250号</w:t>
            </w:r>
            <w:r>
              <w:rPr>
                <w:rFonts w:hint="eastAsia" w:ascii="Times New Roman" w:hAnsi="Times New Roman" w:cs="Times New Roman"/>
                <w:i w:val="0"/>
                <w:iCs w:val="0"/>
                <w:color w:val="000000"/>
                <w:kern w:val="0"/>
                <w:sz w:val="22"/>
                <w:szCs w:val="22"/>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firstLine="440" w:firstLineChars="20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第三十二条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【规章】《取缔非法民间组织暂行办法》（民政部令第21号）</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firstLine="440" w:firstLineChars="20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社会团体和民办非企业单位登记管理机关（以下统称登记管理机关）负责对非法民间组织进行调查，收集有关证据，依法作出取缔决定，没收其非法财产。</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从轻处罚依据：</w:t>
            </w:r>
            <w:r>
              <w:rPr>
                <w:rFonts w:hint="eastAsia" w:ascii="Times New Roman" w:hAnsi="Times New Roman" w:eastAsia="宋体" w:cs="Times New Roman"/>
                <w:i w:val="0"/>
                <w:iCs w:val="0"/>
                <w:color w:val="000000"/>
                <w:kern w:val="0"/>
                <w:sz w:val="22"/>
                <w:szCs w:val="22"/>
                <w:u w:val="none"/>
                <w:lang w:val="en-US" w:eastAsia="zh-CN" w:bidi="ar"/>
              </w:rPr>
              <w:t>《行政处罚法》第三十三条违 法行为轻微并及时改正，没有造成危害后果的，不予行政处罚。初次违法且危害后果轻微并及时改正的，可以不予行政处罚。</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r>
    </w:tbl>
    <w:p>
      <w:pPr>
        <w:keepNext w:val="0"/>
        <w:keepLines w:val="0"/>
        <w:pageBreakBefore w:val="0"/>
        <w:widowControl/>
        <w:suppressLineNumbers w:val="0"/>
        <w:kinsoku/>
        <w:overflowPunct/>
        <w:topLinePunct w:val="0"/>
        <w:autoSpaceDE/>
        <w:autoSpaceDN/>
        <w:bidi w:val="0"/>
        <w:adjustRightInd w:val="0"/>
        <w:snapToGrid w:val="0"/>
        <w:spacing w:line="540" w:lineRule="exact"/>
        <w:ind w:left="-315" w:leftChars="-150" w:right="-315" w:rightChars="-15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br w:type="page"/>
      </w:r>
    </w:p>
    <w:tbl>
      <w:tblPr>
        <w:tblStyle w:val="5"/>
        <w:tblW w:w="16148" w:type="dxa"/>
        <w:jc w:val="center"/>
        <w:tblInd w:w="-3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
      <w:tblGrid>
        <w:gridCol w:w="926"/>
        <w:gridCol w:w="2506"/>
        <w:gridCol w:w="2160"/>
        <w:gridCol w:w="8700"/>
        <w:gridCol w:w="928"/>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04" w:hRule="atLeast"/>
          <w:jc w:val="center"/>
        </w:trPr>
        <w:tc>
          <w:tcPr>
            <w:tcW w:w="9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违法行为（列举）</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不予处罚的情形</w:t>
            </w:r>
          </w:p>
        </w:tc>
        <w:tc>
          <w:tcPr>
            <w:tcW w:w="8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法律依据</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实施主体</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责任主体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4079" w:hRule="atLeast"/>
          <w:jc w:val="center"/>
        </w:trPr>
        <w:tc>
          <w:tcPr>
            <w:tcW w:w="9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7</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对擅自兴建殡葬设施的处罚</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当事人首次违反，主动配合行政机关查处，主动拆除违法殡葬设施，未造成危害后果的。</w:t>
            </w:r>
          </w:p>
        </w:tc>
        <w:tc>
          <w:tcPr>
            <w:tcW w:w="8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【行政法规】《殡葬管理条例》（国务院令第225号发布，第628号修正）</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 xml:space="preserve">    第十八条  未经批准，擅自兴建殡葬设施的，由民政部门会同建设、土地行政管理部门予以取缔，责令恢复原状，没收违法所得，可以并处违法所得1倍以上3倍以下的罚款。</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 xml:space="preserve">【规章】《江苏省殡葬管理办法》（省政府令2000年第169号发布，2012年第81号公布）                          </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 xml:space="preserve">    第二十五条  未经批准，擅自建设殡仪馆、经营性公墓、经营性骨灰堂等殡葬设施的，由民政部门会同建设、土地行政管理部门责令限期改正，没收违法所得，可以并处违法所得1倍以上3倍以下罚款；非法占地建设殡葬设施或者擅自改变殡葬设施用地性质的，按照土地管理法律、法规的规定处罚。</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灌云县民政局、灌云县自然资源和规划局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灌云县民政局、灌云县自然资源和规划局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2466" w:hRule="atLeast"/>
          <w:jc w:val="center"/>
        </w:trPr>
        <w:tc>
          <w:tcPr>
            <w:tcW w:w="9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8</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对墓穴占地面积超过省、自治区、直辖市人民政府规定的标准的处罚</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当事人首次违反，主动配合行政机关查处，主动拆除超面积违法殡葬设施，未造成危害后果的。</w:t>
            </w:r>
          </w:p>
        </w:tc>
        <w:tc>
          <w:tcPr>
            <w:tcW w:w="8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【行政法规】《殡葬管理条例》（国务院令第225号发布，第628号修正）</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 xml:space="preserve">    第十九条  墓穴占地面积超过省、自治区、直辖市人民政府规定的标准的，由民政部门责令限期改正，没收违法所得，可以并处违法所得1倍以上3倍以下的罚款。</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1004" w:hRule="atLeast"/>
          <w:jc w:val="center"/>
        </w:trPr>
        <w:tc>
          <w:tcPr>
            <w:tcW w:w="9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违法行为（列举）</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不予处罚的情形</w:t>
            </w:r>
          </w:p>
        </w:tc>
        <w:tc>
          <w:tcPr>
            <w:tcW w:w="8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法律依据</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实施主体</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eastAsia"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责任主体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454" w:type="dxa"/>
            <w:bottom w:w="0" w:type="dxa"/>
            <w:right w:w="454" w:type="dxa"/>
          </w:tblCellMar>
        </w:tblPrEx>
        <w:trPr>
          <w:trHeight w:val="4079" w:hRule="atLeast"/>
          <w:jc w:val="center"/>
        </w:trPr>
        <w:tc>
          <w:tcPr>
            <w:tcW w:w="92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对养老机构未按规范和标准要求管理和服务的处罚</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对养老机构首次未按规范和标准要求管理和服务的。</w:t>
            </w:r>
          </w:p>
        </w:tc>
        <w:tc>
          <w:tcPr>
            <w:tcW w:w="8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【规章】《养老机构管理办法》（民政部令第66号）</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 xml:space="preserve">    第四十六条 养老机构有下列行为之一的，由民政部门责令改正，给予警告；情节严重的，处以3万元以下的罚款：</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（一）未建立入院评估制度或者未按照规定开展评估活动的；</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（二）未与老年人或者其代理人签订服务协议，或者未按照协议约定提供服务的；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（三）未按照有关强制性国家标准提供服务的；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（四）工作人员的资格不符合规定的；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（五）利用养老机构的房屋、场地、设施开展与养老服务宗旨无关的活动的；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（六）未依照本办法规定预防和处置突发事件的；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（七）歧视、侮辱、虐待老年人以及其他侵害老年人人身和财产权益行为的；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（八）向负责监督检查的民政部门隐瞒有关情况、提供虚假材料或者拒绝提供反映其活动情况真实材料的；</w:t>
            </w:r>
            <w:r>
              <w:rPr>
                <w:rFonts w:hint="eastAsia" w:ascii="Times New Roman" w:hAnsi="Times New Roman" w:eastAsia="宋体" w:cs="Times New Roman"/>
                <w:i w:val="0"/>
                <w:iCs w:val="0"/>
                <w:color w:val="000000"/>
                <w:kern w:val="0"/>
                <w:sz w:val="22"/>
                <w:szCs w:val="22"/>
                <w:u w:val="none"/>
                <w:lang w:val="en-US" w:eastAsia="zh-CN" w:bidi="ar"/>
              </w:rPr>
              <w:br w:type="textWrapping"/>
            </w:r>
            <w:r>
              <w:rPr>
                <w:rFonts w:hint="eastAsia" w:ascii="Times New Roman" w:hAnsi="Times New Roman" w:eastAsia="宋体" w:cs="Times New Roman"/>
                <w:i w:val="0"/>
                <w:iCs w:val="0"/>
                <w:color w:val="000000"/>
                <w:kern w:val="0"/>
                <w:sz w:val="22"/>
                <w:szCs w:val="22"/>
                <w:u w:val="none"/>
                <w:lang w:val="en-US" w:eastAsia="zh-CN" w:bidi="ar"/>
              </w:rPr>
              <w:t>（九）法律、法规、规章规定的其他违法行为。养老机构及其工作人员违反本办法有关规定，构成违反治安管理行为的，依法给予治安管理处罚；构成犯罪的，依法追究刑事责任。</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400" w:lineRule="exact"/>
              <w:ind w:left="-315" w:leftChars="-150" w:right="-315" w:rightChars="-15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灌云县民政局</w:t>
            </w:r>
          </w:p>
        </w:tc>
      </w:tr>
    </w:tbl>
    <w:p>
      <w:pPr>
        <w:rPr>
          <w:rFonts w:hint="default"/>
          <w:lang w:val="en-US" w:eastAsia="zh-CN"/>
        </w:rPr>
      </w:pPr>
    </w:p>
    <w:p>
      <w:pPr>
        <w:widowControl/>
        <w:kinsoku w:val="0"/>
        <w:autoSpaceDE w:val="0"/>
        <w:autoSpaceDN w:val="0"/>
        <w:adjustRightInd w:val="0"/>
        <w:snapToGrid w:val="0"/>
        <w:spacing w:before="240" w:line="178" w:lineRule="auto"/>
        <w:ind w:left="2137"/>
        <w:jc w:val="left"/>
        <w:textAlignment w:val="baseline"/>
        <w:rPr>
          <w:rFonts w:ascii="微软雅黑" w:hAnsi="微软雅黑" w:eastAsia="微软雅黑" w:cs="微软雅黑"/>
          <w:snapToGrid w:val="0"/>
          <w:color w:val="000000"/>
          <w:spacing w:val="14"/>
          <w:kern w:val="0"/>
          <w:sz w:val="43"/>
          <w:szCs w:val="43"/>
        </w:rPr>
        <w:sectPr>
          <w:pgSz w:w="16838" w:h="11906" w:orient="landscape"/>
          <w:pgMar w:top="1701" w:right="1531" w:bottom="1984" w:left="1531" w:header="851" w:footer="992" w:gutter="0"/>
          <w:pgNumType w:fmt="numberInDash"/>
          <w:cols w:space="720" w:num="1"/>
          <w:docGrid w:type="lines" w:linePitch="312"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B0F8A"/>
    <w:rsid w:val="543B0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qFormat/>
    <w:uiPriority w:val="99"/>
    <w:pPr>
      <w:autoSpaceDE w:val="0"/>
      <w:autoSpaceDN w:val="0"/>
      <w:jc w:val="left"/>
    </w:pPr>
    <w:rPr>
      <w:rFonts w:ascii="宋体" w:cs="宋体"/>
      <w:kern w:val="0"/>
      <w:sz w:val="32"/>
      <w:szCs w:val="32"/>
    </w:rPr>
  </w:style>
  <w:style w:type="paragraph" w:styleId="4">
    <w:name w:val="Body Text Indent"/>
    <w:basedOn w:val="1"/>
    <w:qFormat/>
    <w:uiPriority w:val="99"/>
    <w:pPr>
      <w:spacing w:after="120"/>
      <w:ind w:left="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2023-04-13T02:03:00Z</dcterms:created>
  <dc:creator>寒崽</dc:creator>
  <cp:lastModifiedBy>寒崽</cp:lastModifiedBy>
  <dcterms:modified xsi:type="dcterms:W3CDTF">2023-04-13T02:03:36Z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