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42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825"/>
        <w:gridCol w:w="1637"/>
        <w:gridCol w:w="1110"/>
        <w:gridCol w:w="1100"/>
        <w:gridCol w:w="1300"/>
        <w:gridCol w:w="1316"/>
        <w:gridCol w:w="1250"/>
        <w:gridCol w:w="1434"/>
        <w:gridCol w:w="1850"/>
        <w:gridCol w:w="1150"/>
        <w:gridCol w:w="1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5" w:hRule="atLeast"/>
        </w:trPr>
        <w:tc>
          <w:tcPr>
            <w:tcW w:w="825" w:type="dxa"/>
            <w:tcBorders>
              <w:top w:val="nil"/>
              <w:left w:val="nil"/>
              <w:bottom w:val="single" w:color="auto" w:sz="4" w:space="0"/>
              <w:right w:val="nil"/>
            </w:tcBorders>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附件</w:t>
            </w:r>
          </w:p>
        </w:tc>
        <w:tc>
          <w:tcPr>
            <w:tcW w:w="1637" w:type="dxa"/>
            <w:tcBorders>
              <w:top w:val="nil"/>
              <w:left w:val="nil"/>
              <w:bottom w:val="single" w:color="auto" w:sz="4" w:space="0"/>
              <w:right w:val="nil"/>
            </w:tcBorders>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110" w:type="dxa"/>
            <w:tcBorders>
              <w:top w:val="nil"/>
              <w:left w:val="nil"/>
              <w:bottom w:val="single" w:color="auto" w:sz="4" w:space="0"/>
              <w:right w:val="nil"/>
            </w:tcBorders>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100" w:type="dxa"/>
            <w:tcBorders>
              <w:top w:val="nil"/>
              <w:left w:val="nil"/>
              <w:bottom w:val="single" w:color="auto" w:sz="4" w:space="0"/>
              <w:right w:val="nil"/>
            </w:tcBorders>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300" w:type="dxa"/>
            <w:tcBorders>
              <w:top w:val="nil"/>
              <w:left w:val="nil"/>
              <w:bottom w:val="single" w:color="auto" w:sz="4" w:space="0"/>
              <w:right w:val="nil"/>
            </w:tcBorders>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316" w:type="dxa"/>
            <w:tcBorders>
              <w:top w:val="nil"/>
              <w:left w:val="nil"/>
              <w:bottom w:val="single" w:color="auto" w:sz="4" w:space="0"/>
              <w:right w:val="nil"/>
            </w:tcBorders>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250" w:type="dxa"/>
            <w:tcBorders>
              <w:top w:val="nil"/>
              <w:left w:val="nil"/>
              <w:bottom w:val="single" w:color="auto" w:sz="4" w:space="0"/>
              <w:right w:val="nil"/>
            </w:tcBorders>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434" w:type="dxa"/>
            <w:tcBorders>
              <w:top w:val="nil"/>
              <w:left w:val="nil"/>
              <w:bottom w:val="single" w:color="auto" w:sz="4" w:space="0"/>
              <w:right w:val="nil"/>
            </w:tcBorders>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850" w:type="dxa"/>
            <w:tcBorders>
              <w:top w:val="nil"/>
              <w:left w:val="nil"/>
              <w:bottom w:val="single" w:color="auto" w:sz="4" w:space="0"/>
              <w:right w:val="nil"/>
            </w:tcBorders>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150" w:type="dxa"/>
            <w:tcBorders>
              <w:top w:val="nil"/>
              <w:left w:val="nil"/>
              <w:bottom w:val="single" w:color="auto" w:sz="4" w:space="0"/>
              <w:right w:val="nil"/>
            </w:tcBorders>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300" w:type="dxa"/>
            <w:tcBorders>
              <w:top w:val="nil"/>
              <w:left w:val="nil"/>
              <w:bottom w:val="single" w:color="auto" w:sz="4" w:space="0"/>
              <w:right w:val="nil"/>
            </w:tcBorders>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trPr>
        <w:tc>
          <w:tcPr>
            <w:tcW w:w="14272" w:type="dxa"/>
            <w:gridSpan w:val="11"/>
            <w:tcBorders>
              <w:top w:val="single" w:color="auto" w:sz="4" w:space="0"/>
            </w:tcBorders>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表一：灌云县综合行政执法局2021年度行政处罚实施情况统计表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825"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序号</w:t>
            </w:r>
          </w:p>
        </w:tc>
        <w:tc>
          <w:tcPr>
            <w:tcW w:w="1637"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单位名称</w:t>
            </w:r>
          </w:p>
        </w:tc>
        <w:tc>
          <w:tcPr>
            <w:tcW w:w="11810" w:type="dxa"/>
            <w:gridSpan w:val="9"/>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行政处罚实施数量（件）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58" w:hRule="atLeast"/>
        </w:trPr>
        <w:tc>
          <w:tcPr>
            <w:tcW w:w="825"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637"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11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总计（件）</w:t>
            </w:r>
          </w:p>
        </w:tc>
        <w:tc>
          <w:tcPr>
            <w:tcW w:w="110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简易程序（件）</w:t>
            </w:r>
          </w:p>
        </w:tc>
        <w:tc>
          <w:tcPr>
            <w:tcW w:w="130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一般程序（件）</w:t>
            </w:r>
          </w:p>
        </w:tc>
        <w:tc>
          <w:tcPr>
            <w:tcW w:w="1316"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经过听证程序（件）</w:t>
            </w:r>
          </w:p>
        </w:tc>
        <w:tc>
          <w:tcPr>
            <w:tcW w:w="125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罚没金额（万元）</w:t>
            </w:r>
          </w:p>
        </w:tc>
        <w:tc>
          <w:tcPr>
            <w:tcW w:w="1434"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被行政复议（件）</w:t>
            </w:r>
          </w:p>
        </w:tc>
        <w:tc>
          <w:tcPr>
            <w:tcW w:w="185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行政复议被纠错（件）</w:t>
            </w:r>
          </w:p>
        </w:tc>
        <w:tc>
          <w:tcPr>
            <w:tcW w:w="115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被行政诉讼（件）</w:t>
            </w:r>
          </w:p>
        </w:tc>
        <w:tc>
          <w:tcPr>
            <w:tcW w:w="130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行政诉讼被纠错（件）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600" w:hRule="atLeast"/>
        </w:trPr>
        <w:tc>
          <w:tcPr>
            <w:tcW w:w="825"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w:t>
            </w:r>
          </w:p>
        </w:tc>
        <w:tc>
          <w:tcPr>
            <w:tcW w:w="1637"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灌云县综合行政执法局</w:t>
            </w:r>
          </w:p>
        </w:tc>
        <w:tc>
          <w:tcPr>
            <w:tcW w:w="111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default" w:ascii="宋体" w:hAnsi="宋体" w:eastAsia="宋体" w:cs="宋体"/>
                <w:i w:val="0"/>
                <w:iCs w:val="0"/>
                <w:caps w:val="0"/>
                <w:color w:val="000000"/>
                <w:spacing w:val="0"/>
                <w:sz w:val="24"/>
                <w:szCs w:val="24"/>
                <w:lang w:val="en-US"/>
              </w:rPr>
            </w:pPr>
            <w:r>
              <w:rPr>
                <w:rFonts w:hint="eastAsia" w:ascii="宋体" w:hAnsi="宋体" w:eastAsia="宋体" w:cs="宋体"/>
                <w:i w:val="0"/>
                <w:iCs w:val="0"/>
                <w:caps w:val="0"/>
                <w:color w:val="000000"/>
                <w:spacing w:val="0"/>
                <w:kern w:val="0"/>
                <w:sz w:val="24"/>
                <w:szCs w:val="24"/>
                <w:lang w:val="en-US" w:eastAsia="zh-CN" w:bidi="ar"/>
              </w:rPr>
              <w:t>1843</w:t>
            </w:r>
          </w:p>
        </w:tc>
        <w:tc>
          <w:tcPr>
            <w:tcW w:w="110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default" w:ascii="宋体" w:hAnsi="宋体" w:eastAsia="宋体" w:cs="宋体"/>
                <w:i w:val="0"/>
                <w:iCs w:val="0"/>
                <w:caps w:val="0"/>
                <w:color w:val="000000"/>
                <w:spacing w:val="0"/>
                <w:sz w:val="24"/>
                <w:szCs w:val="24"/>
                <w:lang w:val="en-US"/>
              </w:rPr>
            </w:pPr>
            <w:r>
              <w:rPr>
                <w:rFonts w:hint="eastAsia" w:ascii="宋体" w:hAnsi="宋体" w:eastAsia="宋体" w:cs="宋体"/>
                <w:i w:val="0"/>
                <w:iCs w:val="0"/>
                <w:caps w:val="0"/>
                <w:color w:val="000000"/>
                <w:spacing w:val="0"/>
                <w:kern w:val="0"/>
                <w:sz w:val="24"/>
                <w:szCs w:val="24"/>
                <w:lang w:val="en-US" w:eastAsia="zh-CN" w:bidi="ar"/>
              </w:rPr>
              <w:t>1336</w:t>
            </w:r>
          </w:p>
        </w:tc>
        <w:tc>
          <w:tcPr>
            <w:tcW w:w="130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default" w:ascii="宋体" w:hAnsi="宋体" w:eastAsia="宋体" w:cs="宋体"/>
                <w:i w:val="0"/>
                <w:iCs w:val="0"/>
                <w:caps w:val="0"/>
                <w:color w:val="000000"/>
                <w:spacing w:val="0"/>
                <w:sz w:val="24"/>
                <w:szCs w:val="24"/>
                <w:lang w:val="en-US" w:eastAsia="zh-CN"/>
              </w:rPr>
            </w:pPr>
            <w:r>
              <w:rPr>
                <w:rFonts w:hint="eastAsia" w:ascii="宋体" w:hAnsi="宋体" w:eastAsia="宋体" w:cs="宋体"/>
                <w:i w:val="0"/>
                <w:iCs w:val="0"/>
                <w:caps w:val="0"/>
                <w:color w:val="000000"/>
                <w:spacing w:val="0"/>
                <w:sz w:val="24"/>
                <w:szCs w:val="24"/>
                <w:lang w:val="en-US" w:eastAsia="zh-CN"/>
              </w:rPr>
              <w:t>507</w:t>
            </w:r>
          </w:p>
        </w:tc>
        <w:tc>
          <w:tcPr>
            <w:tcW w:w="1316"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0</w:t>
            </w:r>
          </w:p>
        </w:tc>
        <w:tc>
          <w:tcPr>
            <w:tcW w:w="125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default" w:ascii="宋体" w:hAnsi="宋体" w:eastAsia="宋体" w:cs="宋体"/>
                <w:i w:val="0"/>
                <w:iCs w:val="0"/>
                <w:caps w:val="0"/>
                <w:color w:val="000000"/>
                <w:spacing w:val="0"/>
                <w:sz w:val="24"/>
                <w:szCs w:val="24"/>
                <w:lang w:val="en-US"/>
              </w:rPr>
            </w:pPr>
            <w:r>
              <w:rPr>
                <w:rFonts w:hint="eastAsia" w:ascii="宋体" w:hAnsi="宋体" w:eastAsia="宋体" w:cs="宋体"/>
                <w:i w:val="0"/>
                <w:iCs w:val="0"/>
                <w:caps w:val="0"/>
                <w:color w:val="000000"/>
                <w:spacing w:val="0"/>
                <w:kern w:val="0"/>
                <w:sz w:val="24"/>
                <w:szCs w:val="24"/>
                <w:lang w:val="en-US" w:eastAsia="zh-CN" w:bidi="ar"/>
              </w:rPr>
              <w:t>180</w:t>
            </w:r>
          </w:p>
        </w:tc>
        <w:tc>
          <w:tcPr>
            <w:tcW w:w="1434"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0</w:t>
            </w:r>
          </w:p>
        </w:tc>
        <w:tc>
          <w:tcPr>
            <w:tcW w:w="185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0</w:t>
            </w:r>
          </w:p>
        </w:tc>
        <w:tc>
          <w:tcPr>
            <w:tcW w:w="115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0</w:t>
            </w:r>
          </w:p>
        </w:tc>
        <w:tc>
          <w:tcPr>
            <w:tcW w:w="130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trPr>
        <w:tc>
          <w:tcPr>
            <w:tcW w:w="825"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w:t>
            </w:r>
          </w:p>
        </w:tc>
        <w:tc>
          <w:tcPr>
            <w:tcW w:w="1637"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11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10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30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316"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25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434"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85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15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30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2462" w:type="dxa"/>
            <w:gridSpan w:val="2"/>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合计</w:t>
            </w:r>
          </w:p>
        </w:tc>
        <w:tc>
          <w:tcPr>
            <w:tcW w:w="111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10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30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316"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25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434"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85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15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c>
          <w:tcPr>
            <w:tcW w:w="1300" w:type="dxa"/>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16" w:hRule="atLeast"/>
        </w:trPr>
        <w:tc>
          <w:tcPr>
            <w:tcW w:w="14272" w:type="dxa"/>
            <w:gridSpan w:val="11"/>
            <w:shd w:val="clear" w:color="auto" w:fill="auto"/>
            <w:tcMar>
              <w:top w:w="75" w:type="dxa"/>
              <w:left w:w="150" w:type="dxa"/>
              <w:bottom w:w="75" w:type="dxa"/>
              <w:right w:w="150" w:type="dxa"/>
            </w:tcMar>
            <w:vAlign w:val="center"/>
          </w:tcPr>
          <w:p>
            <w:pPr>
              <w:keepNext w:val="0"/>
              <w:keepLines w:val="0"/>
              <w:widowControl/>
              <w:suppressLineNumbers w:val="0"/>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说明：</w:t>
            </w:r>
            <w:r>
              <w:rPr>
                <w:rFonts w:hint="eastAsia" w:ascii="宋体" w:hAnsi="宋体" w:eastAsia="宋体" w:cs="宋体"/>
                <w:i w:val="0"/>
                <w:iCs w:val="0"/>
                <w:caps w:val="0"/>
                <w:color w:val="000000"/>
                <w:spacing w:val="0"/>
                <w:kern w:val="0"/>
                <w:sz w:val="24"/>
                <w:szCs w:val="24"/>
                <w:lang w:val="en-US" w:eastAsia="zh-CN" w:bidi="ar"/>
              </w:rPr>
              <w:br w:type="textWrapping"/>
            </w:r>
            <w:r>
              <w:rPr>
                <w:rFonts w:hint="eastAsia" w:ascii="宋体" w:hAnsi="宋体" w:eastAsia="宋体" w:cs="宋体"/>
                <w:i w:val="0"/>
                <w:iCs w:val="0"/>
                <w:caps w:val="0"/>
                <w:color w:val="000000"/>
                <w:spacing w:val="0"/>
                <w:kern w:val="0"/>
                <w:sz w:val="24"/>
                <w:szCs w:val="24"/>
                <w:lang w:val="en-US" w:eastAsia="zh-CN" w:bidi="ar"/>
              </w:rPr>
              <w:t>1.涉及金额的计算单位均为“万元”，请勿统计错误。</w:t>
            </w:r>
            <w:r>
              <w:rPr>
                <w:rFonts w:hint="eastAsia" w:ascii="宋体" w:hAnsi="宋体" w:eastAsia="宋体" w:cs="宋体"/>
                <w:i w:val="0"/>
                <w:iCs w:val="0"/>
                <w:caps w:val="0"/>
                <w:color w:val="000000"/>
                <w:spacing w:val="0"/>
                <w:kern w:val="0"/>
                <w:sz w:val="24"/>
                <w:szCs w:val="24"/>
                <w:lang w:val="en-US" w:eastAsia="zh-CN" w:bidi="ar"/>
              </w:rPr>
              <w:br w:type="textWrapping"/>
            </w:r>
            <w:r>
              <w:rPr>
                <w:rFonts w:hint="eastAsia" w:ascii="宋体" w:hAnsi="宋体" w:eastAsia="宋体" w:cs="宋体"/>
                <w:i w:val="0"/>
                <w:iCs w:val="0"/>
                <w:caps w:val="0"/>
                <w:color w:val="000000"/>
                <w:spacing w:val="0"/>
                <w:kern w:val="0"/>
                <w:sz w:val="24"/>
                <w:szCs w:val="24"/>
                <w:lang w:val="en-US" w:eastAsia="zh-CN" w:bidi="ar"/>
              </w:rPr>
              <w:t>2.受委托组织为受本部门委托执法的单位，如：执法支队、功能区、乡镇等。受委托单位产生的数据在系统中统一由委托单位录入。3.部门下属法</w:t>
            </w:r>
            <w:bookmarkStart w:id="0" w:name="_GoBack"/>
            <w:bookmarkEnd w:id="0"/>
            <w:r>
              <w:rPr>
                <w:rFonts w:hint="eastAsia" w:ascii="宋体" w:hAnsi="宋体" w:eastAsia="宋体" w:cs="宋体"/>
                <w:i w:val="0"/>
                <w:iCs w:val="0"/>
                <w:caps w:val="0"/>
                <w:color w:val="000000"/>
                <w:spacing w:val="0"/>
                <w:kern w:val="0"/>
                <w:sz w:val="24"/>
                <w:szCs w:val="24"/>
                <w:lang w:val="en-US" w:eastAsia="zh-CN" w:bidi="ar"/>
              </w:rPr>
              <w:t>律、法规授权组织等有执法主体资格作出的执法行为数据直接在系统中由该执法主体填写，部门无需重复填写。 </w:t>
            </w:r>
            <w:r>
              <w:rPr>
                <w:rFonts w:hint="eastAsia" w:ascii="宋体" w:hAnsi="宋体" w:eastAsia="宋体" w:cs="宋体"/>
                <w:i w:val="0"/>
                <w:iCs w:val="0"/>
                <w:caps w:val="0"/>
                <w:color w:val="000000"/>
                <w:spacing w:val="0"/>
                <w:kern w:val="0"/>
                <w:sz w:val="24"/>
                <w:szCs w:val="24"/>
                <w:lang w:val="en-US" w:eastAsia="zh-CN" w:bidi="ar"/>
              </w:rPr>
              <w:br w:type="textWrapping"/>
            </w:r>
            <w:r>
              <w:rPr>
                <w:rFonts w:hint="eastAsia" w:ascii="宋体" w:hAnsi="宋体" w:eastAsia="宋体" w:cs="宋体"/>
                <w:i w:val="0"/>
                <w:iCs w:val="0"/>
                <w:caps w:val="0"/>
                <w:color w:val="000000"/>
                <w:spacing w:val="0"/>
                <w:kern w:val="0"/>
                <w:sz w:val="24"/>
                <w:szCs w:val="24"/>
                <w:lang w:val="en-US" w:eastAsia="zh-CN" w:bidi="ar"/>
              </w:rPr>
              <w:t>4.行政处罚实施数量的统计范围为2020年1月1日至2020年12月31日期间作出行政处罚决定的数量。</w:t>
            </w:r>
            <w:r>
              <w:rPr>
                <w:rFonts w:hint="eastAsia" w:ascii="宋体" w:hAnsi="宋体" w:eastAsia="宋体" w:cs="宋体"/>
                <w:i w:val="0"/>
                <w:iCs w:val="0"/>
                <w:caps w:val="0"/>
                <w:color w:val="000000"/>
                <w:spacing w:val="0"/>
                <w:kern w:val="0"/>
                <w:sz w:val="24"/>
                <w:szCs w:val="24"/>
                <w:lang w:val="en-US" w:eastAsia="zh-CN" w:bidi="ar"/>
              </w:rPr>
              <w:br w:type="textWrapping"/>
            </w:r>
            <w:r>
              <w:rPr>
                <w:rFonts w:hint="eastAsia" w:ascii="宋体" w:hAnsi="宋体" w:eastAsia="宋体" w:cs="宋体"/>
                <w:i w:val="0"/>
                <w:iCs w:val="0"/>
                <w:caps w:val="0"/>
                <w:color w:val="000000"/>
                <w:spacing w:val="0"/>
                <w:kern w:val="0"/>
                <w:sz w:val="24"/>
                <w:szCs w:val="24"/>
                <w:lang w:val="en-US" w:eastAsia="zh-CN" w:bidi="ar"/>
              </w:rPr>
              <w:t>5.“罚没金额”以处罚决定书确定的金额为准。</w:t>
            </w:r>
            <w:r>
              <w:rPr>
                <w:rFonts w:hint="eastAsia" w:ascii="宋体" w:hAnsi="宋体" w:eastAsia="宋体" w:cs="宋体"/>
                <w:i w:val="0"/>
                <w:iCs w:val="0"/>
                <w:caps w:val="0"/>
                <w:color w:val="000000"/>
                <w:spacing w:val="0"/>
                <w:kern w:val="0"/>
                <w:sz w:val="24"/>
                <w:szCs w:val="24"/>
                <w:lang w:val="en-US" w:eastAsia="zh-CN" w:bidi="ar"/>
              </w:rPr>
              <w:br w:type="textWrapping"/>
            </w:r>
            <w:r>
              <w:rPr>
                <w:rFonts w:hint="eastAsia" w:ascii="宋体" w:hAnsi="宋体" w:eastAsia="宋体" w:cs="宋体"/>
                <w:i w:val="0"/>
                <w:iCs w:val="0"/>
                <w:caps w:val="0"/>
                <w:color w:val="000000"/>
                <w:spacing w:val="0"/>
                <w:kern w:val="0"/>
                <w:sz w:val="24"/>
                <w:szCs w:val="24"/>
                <w:lang w:val="en-US" w:eastAsia="zh-CN" w:bidi="ar"/>
              </w:rPr>
              <w:t>6.一般程序的行政处罚案件数量含经过听证程序的案件数量。</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692C44"/>
    <w:rsid w:val="04A25527"/>
    <w:rsid w:val="123E2171"/>
    <w:rsid w:val="36204225"/>
    <w:rsid w:val="43692C44"/>
    <w:rsid w:val="73E334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375</Words>
  <Characters>402</Characters>
  <Lines>0</Lines>
  <Paragraphs>0</Paragraphs>
  <TotalTime>0</TotalTime>
  <ScaleCrop>false</ScaleCrop>
  <LinksUpToDate>false</LinksUpToDate>
  <CharactersWithSpaces>403</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2022-04-11T07:27:00Z</dcterms:created>
  <dc:creator>袁子田</dc:creator>
  <cp:lastModifiedBy>曲奇ʕ •ᴥ•ʔ</cp:lastModifiedBy>
  <dcterms:modified xsi:type="dcterms:W3CDTF">2022-04-11T07:50:54Z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EAA66BF198C4481795856E4C924CAA88</vt:lpwstr>
  </property>
</Properties>
</file>