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docProps/core.xml" ContentType="application/vnd.openxmlformats-package.core-properties+xml"/>
  <Override PartName="/word/footer1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3.xml" ContentType="application/vnd.openxmlformats-officedocument.wordprocessingml.footer+xml"/>
  <Override PartName="/word/footer8.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09972EE">
      <w:pPr>
        <w:pStyle w:val="style0"/>
        <w:adjustRightInd w:val="false"/>
        <w:snapToGrid w:val="false"/>
        <w:spacing w:lineRule="atLeast" w:line="0"/>
        <w:ind w:firstLine="0" w:firstLineChars="0"/>
        <w:jc w:val="left"/>
        <w:rPr>
          <w:rFonts w:cs="Times New Roman"/>
          <w:b/>
          <w:w w:val="80"/>
          <w:sz w:val="32"/>
          <w:szCs w:val="28"/>
        </w:rPr>
      </w:pPr>
    </w:p>
    <w:p w14:paraId="09DAEFF4">
      <w:pPr>
        <w:pStyle w:val="style0"/>
        <w:adjustRightInd w:val="false"/>
        <w:snapToGrid w:val="false"/>
        <w:spacing w:lineRule="atLeast" w:line="0"/>
        <w:ind w:firstLine="0" w:firstLineChars="0"/>
        <w:jc w:val="left"/>
        <w:rPr>
          <w:rFonts w:cs="Times New Roman"/>
          <w:b/>
          <w:w w:val="80"/>
          <w:sz w:val="32"/>
          <w:szCs w:val="28"/>
        </w:rPr>
      </w:pPr>
    </w:p>
    <w:p w14:paraId="2F341D30">
      <w:pPr>
        <w:pStyle w:val="style0"/>
        <w:adjustRightInd w:val="false"/>
        <w:snapToGrid w:val="false"/>
        <w:spacing w:lineRule="atLeast" w:line="0"/>
        <w:ind w:firstLine="0" w:firstLineChars="0"/>
        <w:jc w:val="left"/>
        <w:rPr>
          <w:rFonts w:cs="Times New Roman"/>
          <w:b/>
          <w:w w:val="80"/>
          <w:sz w:val="32"/>
          <w:szCs w:val="28"/>
        </w:rPr>
      </w:pPr>
    </w:p>
    <w:p w14:paraId="7D508117">
      <w:pPr>
        <w:pStyle w:val="style66"/>
        <w:spacing w:lineRule="exact" w:line="560"/>
        <w:ind w:firstLine="0" w:firstLineChars="0"/>
        <w:rPr>
          <w:rFonts w:cs="Times New Roman" w:eastAsia="黑体"/>
          <w:sz w:val="32"/>
          <w:szCs w:val="28"/>
        </w:rPr>
      </w:pPr>
    </w:p>
    <w:p w14:paraId="14755A93">
      <w:pPr>
        <w:pStyle w:val="style0"/>
        <w:adjustRightInd w:val="false"/>
        <w:snapToGrid w:val="false"/>
        <w:spacing w:lineRule="exact" w:line="800"/>
        <w:ind w:firstLine="0" w:firstLineChars="0"/>
        <w:jc w:val="center"/>
        <w:rPr>
          <w:rFonts w:ascii="方正小标宋_GBK" w:cs="方正小标宋_GBK" w:eastAsia="方正小标宋_GBK" w:hAnsi="方正小标宋_GBK" w:hint="eastAsia"/>
          <w:bCs/>
          <w:sz w:val="56"/>
          <w:szCs w:val="56"/>
        </w:rPr>
      </w:pPr>
      <w:r>
        <w:rPr>
          <w:rFonts w:ascii="方正小标宋_GBK" w:cs="方正小标宋_GBK" w:eastAsia="方正小标宋_GBK" w:hAnsi="方正小标宋_GBK" w:hint="eastAsia"/>
          <w:bCs/>
          <w:sz w:val="56"/>
          <w:szCs w:val="56"/>
        </w:rPr>
        <w:t>灌云县临港产业区化工产业园</w:t>
      </w:r>
    </w:p>
    <w:p w14:paraId="75207FC2">
      <w:pPr>
        <w:pStyle w:val="style0"/>
        <w:adjustRightInd w:val="false"/>
        <w:snapToGrid w:val="false"/>
        <w:spacing w:lineRule="exact" w:line="800"/>
        <w:ind w:firstLine="0" w:firstLineChars="0"/>
        <w:jc w:val="center"/>
        <w:rPr>
          <w:rFonts w:ascii="方正小标宋_GBK" w:cs="方正小标宋_GBK" w:eastAsia="方正小标宋_GBK" w:hAnsi="方正小标宋_GBK" w:hint="eastAsia"/>
          <w:bCs/>
          <w:sz w:val="56"/>
          <w:szCs w:val="56"/>
        </w:rPr>
      </w:pPr>
      <w:r>
        <w:rPr>
          <w:rFonts w:ascii="方正小标宋_GBK" w:cs="方正小标宋_GBK" w:eastAsia="方正小标宋_GBK" w:hAnsi="方正小标宋_GBK" w:hint="eastAsia"/>
          <w:bCs/>
          <w:sz w:val="56"/>
          <w:szCs w:val="56"/>
        </w:rPr>
        <w:t>扩区可行性研究报告</w:t>
      </w:r>
    </w:p>
    <w:p w14:paraId="6ADB6321">
      <w:pPr>
        <w:pStyle w:val="style0"/>
        <w:adjustRightInd w:val="false"/>
        <w:snapToGrid w:val="false"/>
        <w:spacing w:lineRule="exact" w:line="560"/>
        <w:ind w:firstLine="0" w:firstLineChars="0"/>
        <w:jc w:val="left"/>
        <w:rPr>
          <w:rFonts w:ascii="方正楷体_GBK" w:cs="方正楷体_GBK" w:eastAsia="方正楷体_GBK" w:hAnsi="方正楷体_GBK"/>
          <w:bCs/>
          <w:sz w:val="48"/>
          <w:szCs w:val="48"/>
        </w:rPr>
      </w:pPr>
    </w:p>
    <w:p w14:paraId="5B9BBA90">
      <w:pPr>
        <w:pStyle w:val="style0"/>
        <w:adjustRightInd w:val="false"/>
        <w:snapToGrid w:val="false"/>
        <w:spacing w:lineRule="exact" w:line="560"/>
        <w:ind w:firstLine="0" w:firstLineChars="0"/>
        <w:jc w:val="left"/>
        <w:rPr>
          <w:rFonts w:cs="Times New Roman" w:eastAsia="黑体" w:hint="eastAsia"/>
          <w:b/>
          <w:sz w:val="32"/>
          <w:szCs w:val="28"/>
        </w:rPr>
      </w:pPr>
    </w:p>
    <w:p w14:paraId="0C304795">
      <w:pPr>
        <w:pStyle w:val="style0"/>
        <w:adjustRightInd w:val="false"/>
        <w:snapToGrid w:val="false"/>
        <w:spacing w:lineRule="exact" w:line="560"/>
        <w:ind w:firstLine="0" w:firstLineChars="0"/>
        <w:jc w:val="left"/>
        <w:rPr>
          <w:rFonts w:cs="Times New Roman" w:eastAsia="黑体" w:hint="eastAsia"/>
          <w:b/>
          <w:sz w:val="32"/>
          <w:szCs w:val="28"/>
        </w:rPr>
      </w:pPr>
    </w:p>
    <w:p w14:paraId="7D76D6E8">
      <w:pPr>
        <w:pStyle w:val="style0"/>
        <w:adjustRightInd w:val="false"/>
        <w:snapToGrid w:val="false"/>
        <w:spacing w:lineRule="exact" w:line="560"/>
        <w:ind w:firstLine="0" w:firstLineChars="0"/>
        <w:jc w:val="left"/>
        <w:rPr>
          <w:rFonts w:cs="Times New Roman" w:eastAsia="黑体"/>
          <w:b/>
          <w:sz w:val="32"/>
          <w:szCs w:val="28"/>
        </w:rPr>
      </w:pPr>
    </w:p>
    <w:p w14:paraId="531F6E1A">
      <w:pPr>
        <w:pStyle w:val="style0"/>
        <w:adjustRightInd w:val="false"/>
        <w:snapToGrid w:val="false"/>
        <w:spacing w:lineRule="exact" w:line="560"/>
        <w:ind w:firstLine="0" w:firstLineChars="0"/>
        <w:jc w:val="left"/>
        <w:rPr>
          <w:rFonts w:cs="Times New Roman" w:eastAsia="黑体"/>
          <w:b/>
          <w:sz w:val="32"/>
          <w:szCs w:val="28"/>
        </w:rPr>
      </w:pPr>
    </w:p>
    <w:p w14:paraId="77CFC3F8">
      <w:pPr>
        <w:pStyle w:val="style0"/>
        <w:adjustRightInd w:val="false"/>
        <w:snapToGrid w:val="false"/>
        <w:spacing w:lineRule="exact" w:line="560"/>
        <w:ind w:firstLine="0" w:firstLineChars="0"/>
        <w:jc w:val="left"/>
        <w:rPr>
          <w:rFonts w:cs="Times New Roman" w:eastAsia="黑体"/>
          <w:b/>
          <w:sz w:val="32"/>
          <w:szCs w:val="28"/>
        </w:rPr>
      </w:pPr>
    </w:p>
    <w:p w14:paraId="789DE9D7">
      <w:pPr>
        <w:pStyle w:val="style66"/>
        <w:spacing w:lineRule="exact" w:line="560"/>
        <w:ind w:firstLine="0" w:firstLineChars="0"/>
        <w:jc w:val="left"/>
        <w:rPr>
          <w:rFonts w:cs="Times New Roman" w:eastAsia="黑体"/>
          <w:sz w:val="32"/>
          <w:szCs w:val="28"/>
        </w:rPr>
      </w:pPr>
    </w:p>
    <w:p w14:paraId="5D20DAE9">
      <w:pPr>
        <w:pStyle w:val="style0"/>
        <w:spacing w:lineRule="exact" w:line="560"/>
        <w:ind w:firstLine="0" w:firstLineChars="0"/>
        <w:rPr>
          <w:sz w:val="32"/>
        </w:rPr>
      </w:pPr>
    </w:p>
    <w:p w14:paraId="507AF595">
      <w:pPr>
        <w:pStyle w:val="style0"/>
        <w:spacing w:lineRule="exact" w:line="560"/>
        <w:ind w:firstLine="0" w:firstLineChars="0"/>
        <w:jc w:val="left"/>
        <w:rPr>
          <w:rFonts w:cs="Times New Roman" w:eastAsia="黑体"/>
          <w:sz w:val="32"/>
          <w:szCs w:val="28"/>
        </w:rPr>
      </w:pPr>
    </w:p>
    <w:p w14:paraId="182C4646">
      <w:pPr>
        <w:pStyle w:val="style0"/>
        <w:adjustRightInd w:val="false"/>
        <w:snapToGrid w:val="false"/>
        <w:spacing w:lineRule="atLeast" w:line="0"/>
        <w:ind w:firstLine="0" w:firstLineChars="0"/>
        <w:rPr>
          <w:rFonts w:cs="Times New Roman" w:eastAsia="黑体"/>
          <w:b/>
          <w:sz w:val="32"/>
          <w:szCs w:val="28"/>
        </w:rPr>
      </w:pPr>
    </w:p>
    <w:p w14:paraId="7590A98B">
      <w:pPr>
        <w:pStyle w:val="style0"/>
        <w:adjustRightInd w:val="false"/>
        <w:snapToGrid w:val="false"/>
        <w:spacing w:lineRule="atLeast" w:line="0"/>
        <w:ind w:firstLine="0" w:firstLineChars="0"/>
        <w:rPr>
          <w:rFonts w:cs="Times New Roman" w:eastAsia="黑体"/>
          <w:b/>
          <w:sz w:val="32"/>
          <w:szCs w:val="28"/>
        </w:rPr>
      </w:pPr>
    </w:p>
    <w:p w14:paraId="49C52997">
      <w:pPr>
        <w:pStyle w:val="style0"/>
        <w:adjustRightInd w:val="false"/>
        <w:snapToGrid w:val="false"/>
        <w:spacing w:lineRule="atLeast" w:line="0"/>
        <w:ind w:firstLine="0" w:firstLineChars="0"/>
        <w:rPr>
          <w:rFonts w:cs="Times New Roman" w:eastAsia="黑体"/>
          <w:b/>
          <w:sz w:val="32"/>
          <w:szCs w:val="28"/>
        </w:rPr>
      </w:pPr>
    </w:p>
    <w:p w14:paraId="2BD95581">
      <w:pPr>
        <w:pStyle w:val="style0"/>
        <w:adjustRightInd w:val="false"/>
        <w:snapToGrid w:val="false"/>
        <w:spacing w:lineRule="atLeast" w:line="0"/>
        <w:ind w:firstLine="0" w:firstLineChars="0"/>
        <w:rPr>
          <w:rFonts w:cs="Times New Roman" w:eastAsia="黑体"/>
          <w:b/>
          <w:sz w:val="32"/>
          <w:szCs w:val="28"/>
        </w:rPr>
      </w:pPr>
    </w:p>
    <w:p w14:paraId="4BB212ED">
      <w:pPr>
        <w:pStyle w:val="style0"/>
        <w:adjustRightInd w:val="false"/>
        <w:snapToGrid w:val="false"/>
        <w:spacing w:lineRule="atLeast" w:line="0"/>
        <w:ind w:firstLine="0" w:firstLineChars="0"/>
        <w:rPr>
          <w:rFonts w:cs="Times New Roman" w:eastAsia="黑体"/>
          <w:b/>
          <w:sz w:val="32"/>
          <w:szCs w:val="28"/>
        </w:rPr>
      </w:pPr>
    </w:p>
    <w:p w14:paraId="098CD881">
      <w:pPr>
        <w:pStyle w:val="style0"/>
        <w:adjustRightInd w:val="false"/>
        <w:snapToGrid w:val="false"/>
        <w:spacing w:lineRule="atLeast" w:line="0"/>
        <w:ind w:firstLine="0" w:firstLineChars="0"/>
        <w:rPr>
          <w:rFonts w:cs="Times New Roman" w:eastAsia="黑体"/>
          <w:b/>
          <w:sz w:val="32"/>
          <w:szCs w:val="28"/>
        </w:rPr>
      </w:pPr>
    </w:p>
    <w:p w14:paraId="7B5A8E7F">
      <w:pPr>
        <w:pStyle w:val="style66"/>
        <w:spacing w:lineRule="exact" w:line="560"/>
        <w:ind w:firstLine="0" w:firstLineChars="0"/>
        <w:rPr>
          <w:rFonts w:cs="Times New Roman" w:eastAsia="黑体"/>
          <w:sz w:val="32"/>
          <w:szCs w:val="28"/>
        </w:rPr>
      </w:pPr>
    </w:p>
    <w:p w14:paraId="5C19A2D5">
      <w:pPr>
        <w:pStyle w:val="style66"/>
        <w:spacing w:lineRule="exact" w:line="560"/>
        <w:ind w:firstLine="0" w:firstLineChars="0"/>
        <w:jc w:val="left"/>
        <w:rPr>
          <w:rFonts w:cs="Times New Roman" w:eastAsia="黑体"/>
          <w:sz w:val="32"/>
          <w:szCs w:val="28"/>
        </w:rPr>
      </w:pPr>
    </w:p>
    <w:p w14:paraId="5E88B997">
      <w:pPr>
        <w:pStyle w:val="style0"/>
        <w:adjustRightInd w:val="false"/>
        <w:snapToGrid w:val="false"/>
        <w:spacing w:lineRule="atLeast" w:line="0"/>
        <w:ind w:firstLine="0" w:firstLineChars="0"/>
        <w:jc w:val="center"/>
        <w:rPr>
          <w:rFonts w:cs="Times New Roman" w:eastAsia="黑体"/>
          <w:sz w:val="32"/>
          <w:szCs w:val="28"/>
        </w:rPr>
      </w:pPr>
    </w:p>
    <w:p w14:paraId="3E44CB7E">
      <w:pPr>
        <w:pStyle w:val="style0"/>
        <w:widowControl/>
        <w:spacing w:lineRule="auto" w:line="240"/>
        <w:ind w:firstLine="0" w:firstLineChars="0"/>
        <w:jc w:val="center"/>
        <w:rPr>
          <w:rFonts w:cs="Times New Roman" w:eastAsia="黑体"/>
          <w:sz w:val="32"/>
          <w:szCs w:val="28"/>
        </w:rPr>
        <w:sectPr>
          <w:headerReference w:type="even" r:id="rId2"/>
          <w:headerReference w:type="default" r:id="rId3"/>
          <w:footerReference w:type="even" r:id="rId4"/>
          <w:footerReference w:type="default" r:id="rId5"/>
          <w:headerReference w:type="first" r:id="rId6"/>
          <w:footerReference w:type="first" r:id="rId7"/>
          <w:pgSz w:w="11906" w:h="16838" w:orient="portrait"/>
          <w:pgMar w:top="1440" w:right="1803" w:bottom="1440" w:left="1803" w:header="851" w:footer="992" w:gutter="0"/>
          <w:cols w:space="0" w:num="1"/>
          <w:docGrid w:type="lines" w:linePitch="388" w:charSpace="0"/>
        </w:sectPr>
      </w:pPr>
      <w:r>
        <w:rPr>
          <w:rFonts w:cs="Times New Roman" w:eastAsia="黑体"/>
          <w:sz w:val="32"/>
          <w:szCs w:val="28"/>
        </w:rPr>
        <w:t>二0二</w:t>
      </w:r>
      <w:r>
        <w:rPr>
          <w:rFonts w:cs="Times New Roman" w:eastAsia="黑体" w:hint="eastAsia"/>
          <w:sz w:val="32"/>
          <w:szCs w:val="28"/>
        </w:rPr>
        <w:t>五</w:t>
      </w:r>
      <w:r>
        <w:rPr>
          <w:rFonts w:cs="Times New Roman" w:eastAsia="黑体"/>
          <w:sz w:val="32"/>
          <w:szCs w:val="28"/>
        </w:rPr>
        <w:t>年</w:t>
      </w:r>
      <w:r>
        <w:rPr>
          <w:rFonts w:cs="Times New Roman" w:eastAsia="黑体" w:hint="eastAsia"/>
          <w:sz w:val="32"/>
          <w:szCs w:val="28"/>
        </w:rPr>
        <w:t>十</w:t>
      </w:r>
      <w:r>
        <w:rPr>
          <w:rFonts w:cs="Times New Roman" w:eastAsia="黑体"/>
          <w:sz w:val="32"/>
          <w:szCs w:val="28"/>
        </w:rPr>
        <w:t>月</w:t>
      </w:r>
    </w:p>
    <w:bookmarkStart w:id="0" w:name="_GoBack"/>
    <w:bookmarkEnd w:id="0"/>
    <w:p w14:paraId="703F815A">
      <w:pPr>
        <w:pStyle w:val="style0"/>
        <w:spacing w:lineRule="auto" w:line="240"/>
        <w:ind w:firstLine="0" w:firstLineChars="0"/>
        <w:jc w:val="center"/>
        <w:rPr>
          <w:rFonts w:ascii="宋体" w:cs="宋体" w:eastAsia="宋体" w:hAnsi="宋体" w:hint="eastAsia"/>
          <w:b/>
          <w:bCs/>
          <w:sz w:val="32"/>
          <w:szCs w:val="32"/>
        </w:rPr>
      </w:pPr>
      <w:r>
        <w:rPr>
          <w:rFonts w:ascii="宋体" w:cs="宋体" w:eastAsia="宋体" w:hAnsi="宋体" w:hint="eastAsia"/>
          <w:b/>
          <w:bCs/>
          <w:sz w:val="32"/>
          <w:szCs w:val="32"/>
        </w:rPr>
        <w:t>目录</w:t>
      </w:r>
    </w:p>
    <w:p w14:paraId="6E40F047">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rPr>
        <w:fldChar w:fldCharType="begin"/>
      </w:r>
      <w:r>
        <w:rPr>
          <w:sz w:val="32"/>
        </w:rPr>
        <w:instrText xml:space="preserve">TOC \o "1-3" \h \u </w:instrText>
      </w:r>
      <w:r>
        <w:rPr>
          <w:sz w:val="32"/>
        </w:rPr>
        <w:fldChar w:fldCharType="separate"/>
      </w:r>
      <w:r>
        <w:rPr>
          <w:sz w:val="32"/>
          <w:szCs w:val="32"/>
        </w:rPr>
        <w:fldChar w:fldCharType="begin"/>
      </w:r>
      <w:r>
        <w:rPr>
          <w:sz w:val="32"/>
          <w:szCs w:val="32"/>
        </w:rPr>
        <w:instrText xml:space="preserve"> HYPERLINK \l _Toc2137 </w:instrText>
      </w:r>
      <w:r>
        <w:rPr>
          <w:sz w:val="32"/>
          <w:szCs w:val="32"/>
        </w:rPr>
        <w:fldChar w:fldCharType="separate"/>
      </w:r>
      <w:r>
        <w:rPr>
          <w:sz w:val="32"/>
          <w:szCs w:val="32"/>
        </w:rPr>
        <w:t>一、园区基本情况</w:t>
      </w:r>
      <w:r>
        <w:rPr>
          <w:sz w:val="32"/>
          <w:szCs w:val="32"/>
        </w:rPr>
        <w:tab/>
      </w:r>
      <w:r>
        <w:rPr>
          <w:sz w:val="32"/>
          <w:szCs w:val="32"/>
        </w:rPr>
        <w:fldChar w:fldCharType="begin"/>
      </w:r>
      <w:r>
        <w:rPr>
          <w:sz w:val="32"/>
          <w:szCs w:val="32"/>
        </w:rPr>
        <w:instrText xml:space="preserve"> PAGEREF _Toc2137 \h </w:instrText>
      </w:r>
      <w:r>
        <w:rPr>
          <w:sz w:val="32"/>
          <w:szCs w:val="32"/>
        </w:rPr>
        <w:fldChar w:fldCharType="separate"/>
      </w:r>
      <w:r>
        <w:rPr>
          <w:sz w:val="32"/>
          <w:szCs w:val="32"/>
        </w:rPr>
        <w:t>1</w:t>
      </w:r>
      <w:r>
        <w:rPr>
          <w:sz w:val="32"/>
          <w:szCs w:val="32"/>
        </w:rPr>
        <w:fldChar w:fldCharType="end"/>
      </w:r>
      <w:r>
        <w:rPr>
          <w:sz w:val="32"/>
          <w:szCs w:val="32"/>
        </w:rPr>
        <w:fldChar w:fldCharType="end"/>
      </w:r>
    </w:p>
    <w:p w14:paraId="1AC0C16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_Toc32502 </w:instrText>
      </w:r>
      <w:r>
        <w:rPr>
          <w:sz w:val="32"/>
          <w:szCs w:val="32"/>
        </w:rPr>
        <w:fldChar w:fldCharType="separate"/>
      </w:r>
      <w:r>
        <w:rPr>
          <w:sz w:val="32"/>
          <w:szCs w:val="32"/>
        </w:rPr>
        <w:t>1.1灌云县临港产业区化工产业园现状概况</w:t>
      </w:r>
      <w:r>
        <w:rPr>
          <w:sz w:val="32"/>
          <w:szCs w:val="32"/>
        </w:rPr>
        <w:tab/>
      </w:r>
      <w:r>
        <w:rPr>
          <w:sz w:val="32"/>
          <w:szCs w:val="32"/>
        </w:rPr>
        <w:fldChar w:fldCharType="begin"/>
      </w:r>
      <w:r>
        <w:rPr>
          <w:sz w:val="32"/>
          <w:szCs w:val="32"/>
        </w:rPr>
        <w:instrText xml:space="preserve"> PAGEREF _Toc32502 \h </w:instrText>
      </w:r>
      <w:r>
        <w:rPr>
          <w:sz w:val="32"/>
          <w:szCs w:val="32"/>
        </w:rPr>
        <w:fldChar w:fldCharType="separate"/>
      </w:r>
      <w:r>
        <w:rPr>
          <w:sz w:val="32"/>
          <w:szCs w:val="32"/>
        </w:rPr>
        <w:t>1</w:t>
      </w:r>
      <w:r>
        <w:rPr>
          <w:sz w:val="32"/>
          <w:szCs w:val="32"/>
        </w:rPr>
        <w:fldChar w:fldCharType="end"/>
      </w:r>
      <w:r>
        <w:rPr>
          <w:sz w:val="32"/>
          <w:szCs w:val="32"/>
        </w:rPr>
        <w:fldChar w:fldCharType="end"/>
      </w:r>
    </w:p>
    <w:p w14:paraId="4435BA70">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_Toc3603 </w:instrText>
      </w:r>
      <w:r>
        <w:rPr>
          <w:sz w:val="32"/>
          <w:szCs w:val="32"/>
        </w:rPr>
        <w:fldChar w:fldCharType="separate"/>
      </w:r>
      <w:r>
        <w:rPr>
          <w:sz w:val="32"/>
          <w:szCs w:val="32"/>
        </w:rPr>
        <w:t>1.2灌云县临港产业区化工产业园扩区可行性分析</w:t>
      </w:r>
      <w:r>
        <w:rPr>
          <w:sz w:val="32"/>
          <w:szCs w:val="32"/>
        </w:rPr>
        <w:tab/>
      </w:r>
      <w:r>
        <w:rPr>
          <w:sz w:val="32"/>
          <w:szCs w:val="32"/>
        </w:rPr>
        <w:fldChar w:fldCharType="begin"/>
      </w:r>
      <w:r>
        <w:rPr>
          <w:sz w:val="32"/>
          <w:szCs w:val="32"/>
        </w:rPr>
        <w:instrText xml:space="preserve"> PAGEREF _Toc3603 \h </w:instrText>
      </w:r>
      <w:r>
        <w:rPr>
          <w:sz w:val="32"/>
          <w:szCs w:val="32"/>
        </w:rPr>
        <w:fldChar w:fldCharType="separate"/>
      </w:r>
      <w:r>
        <w:rPr>
          <w:sz w:val="32"/>
          <w:szCs w:val="32"/>
        </w:rPr>
        <w:t>3</w:t>
      </w:r>
      <w:r>
        <w:rPr>
          <w:sz w:val="32"/>
          <w:szCs w:val="32"/>
        </w:rPr>
        <w:fldChar w:fldCharType="end"/>
      </w:r>
      <w:r>
        <w:rPr>
          <w:sz w:val="32"/>
          <w:szCs w:val="32"/>
        </w:rPr>
        <w:fldChar w:fldCharType="end"/>
      </w:r>
    </w:p>
    <w:p w14:paraId="327B9B49">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_Toc25169 </w:instrText>
      </w:r>
      <w:r>
        <w:rPr>
          <w:sz w:val="32"/>
          <w:szCs w:val="32"/>
        </w:rPr>
        <w:fldChar w:fldCharType="separate"/>
      </w:r>
      <w:r>
        <w:rPr>
          <w:sz w:val="32"/>
          <w:szCs w:val="32"/>
        </w:rPr>
        <w:t>1.3灌云县临港产业区化工产业园拟扩区域概况</w:t>
      </w:r>
      <w:r>
        <w:rPr>
          <w:sz w:val="32"/>
          <w:szCs w:val="32"/>
        </w:rPr>
        <w:tab/>
      </w:r>
      <w:r>
        <w:rPr>
          <w:sz w:val="32"/>
          <w:szCs w:val="32"/>
        </w:rPr>
        <w:fldChar w:fldCharType="begin"/>
      </w:r>
      <w:r>
        <w:rPr>
          <w:sz w:val="32"/>
          <w:szCs w:val="32"/>
        </w:rPr>
        <w:instrText xml:space="preserve"> PAGEREF _Toc25169 \h </w:instrText>
      </w:r>
      <w:r>
        <w:rPr>
          <w:sz w:val="32"/>
          <w:szCs w:val="32"/>
        </w:rPr>
        <w:fldChar w:fldCharType="separate"/>
      </w:r>
      <w:r>
        <w:rPr>
          <w:sz w:val="32"/>
          <w:szCs w:val="32"/>
        </w:rPr>
        <w:t>4</w:t>
      </w:r>
      <w:r>
        <w:rPr>
          <w:sz w:val="32"/>
          <w:szCs w:val="32"/>
        </w:rPr>
        <w:fldChar w:fldCharType="end"/>
      </w:r>
      <w:r>
        <w:rPr>
          <w:sz w:val="32"/>
          <w:szCs w:val="32"/>
        </w:rPr>
        <w:fldChar w:fldCharType="end"/>
      </w:r>
    </w:p>
    <w:p w14:paraId="19F6F1F4">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_Toc4488 </w:instrText>
      </w:r>
      <w:r>
        <w:rPr>
          <w:sz w:val="32"/>
          <w:szCs w:val="32"/>
        </w:rPr>
        <w:fldChar w:fldCharType="separate"/>
      </w:r>
      <w:r>
        <w:rPr>
          <w:sz w:val="32"/>
          <w:szCs w:val="32"/>
        </w:rPr>
        <w:t>1.4园区要素保障</w:t>
      </w:r>
      <w:r>
        <w:rPr>
          <w:sz w:val="32"/>
          <w:szCs w:val="32"/>
        </w:rPr>
        <w:tab/>
      </w:r>
      <w:r>
        <w:rPr>
          <w:sz w:val="32"/>
          <w:szCs w:val="32"/>
        </w:rPr>
        <w:fldChar w:fldCharType="begin"/>
      </w:r>
      <w:r>
        <w:rPr>
          <w:sz w:val="32"/>
          <w:szCs w:val="32"/>
        </w:rPr>
        <w:instrText xml:space="preserve"> PAGEREF _Toc4488 \h </w:instrText>
      </w:r>
      <w:r>
        <w:rPr>
          <w:sz w:val="32"/>
          <w:szCs w:val="32"/>
        </w:rPr>
        <w:fldChar w:fldCharType="separate"/>
      </w:r>
      <w:r>
        <w:rPr>
          <w:sz w:val="32"/>
          <w:szCs w:val="32"/>
        </w:rPr>
        <w:t>6</w:t>
      </w:r>
      <w:r>
        <w:rPr>
          <w:sz w:val="32"/>
          <w:szCs w:val="32"/>
        </w:rPr>
        <w:fldChar w:fldCharType="end"/>
      </w:r>
      <w:r>
        <w:rPr>
          <w:sz w:val="32"/>
          <w:szCs w:val="32"/>
        </w:rPr>
        <w:fldChar w:fldCharType="end"/>
      </w:r>
    </w:p>
    <w:p w14:paraId="207D22BE">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_Toc11771 </w:instrText>
      </w:r>
      <w:r>
        <w:rPr>
          <w:sz w:val="32"/>
          <w:szCs w:val="32"/>
        </w:rPr>
        <w:fldChar w:fldCharType="separate"/>
      </w:r>
      <w:r>
        <w:rPr>
          <w:sz w:val="32"/>
          <w:szCs w:val="32"/>
        </w:rPr>
        <w:t>二、扩区必要性</w:t>
      </w:r>
      <w:r>
        <w:rPr>
          <w:sz w:val="32"/>
          <w:szCs w:val="32"/>
        </w:rPr>
        <w:tab/>
      </w:r>
      <w:r>
        <w:rPr>
          <w:sz w:val="32"/>
          <w:szCs w:val="32"/>
        </w:rPr>
        <w:fldChar w:fldCharType="begin"/>
      </w:r>
      <w:r>
        <w:rPr>
          <w:sz w:val="32"/>
          <w:szCs w:val="32"/>
        </w:rPr>
        <w:instrText xml:space="preserve"> PAGEREF _Toc11771 \h </w:instrText>
      </w:r>
      <w:r>
        <w:rPr>
          <w:sz w:val="32"/>
          <w:szCs w:val="32"/>
        </w:rPr>
        <w:fldChar w:fldCharType="separate"/>
      </w:r>
      <w:r>
        <w:rPr>
          <w:sz w:val="32"/>
          <w:szCs w:val="32"/>
        </w:rPr>
        <w:t>12</w:t>
      </w:r>
      <w:r>
        <w:rPr>
          <w:sz w:val="32"/>
          <w:szCs w:val="32"/>
        </w:rPr>
        <w:fldChar w:fldCharType="end"/>
      </w:r>
      <w:r>
        <w:rPr>
          <w:sz w:val="32"/>
          <w:szCs w:val="32"/>
        </w:rPr>
        <w:fldChar w:fldCharType="end"/>
      </w:r>
    </w:p>
    <w:p w14:paraId="45CFBBAF">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_Toc4236 </w:instrText>
      </w:r>
      <w:r>
        <w:rPr>
          <w:sz w:val="32"/>
          <w:szCs w:val="32"/>
        </w:rPr>
        <w:fldChar w:fldCharType="separate"/>
      </w:r>
      <w:r>
        <w:rPr>
          <w:sz w:val="32"/>
          <w:szCs w:val="32"/>
        </w:rPr>
        <w:t>2.1国家和省重大产业区域布局战略需要</w:t>
      </w:r>
      <w:r>
        <w:rPr>
          <w:sz w:val="32"/>
          <w:szCs w:val="32"/>
        </w:rPr>
        <w:tab/>
      </w:r>
      <w:r>
        <w:rPr>
          <w:sz w:val="32"/>
          <w:szCs w:val="32"/>
        </w:rPr>
        <w:fldChar w:fldCharType="begin"/>
      </w:r>
      <w:r>
        <w:rPr>
          <w:sz w:val="32"/>
          <w:szCs w:val="32"/>
        </w:rPr>
        <w:instrText xml:space="preserve"> PAGEREF _Toc4236 \h </w:instrText>
      </w:r>
      <w:r>
        <w:rPr>
          <w:sz w:val="32"/>
          <w:szCs w:val="32"/>
        </w:rPr>
        <w:fldChar w:fldCharType="separate"/>
      </w:r>
      <w:r>
        <w:rPr>
          <w:sz w:val="32"/>
          <w:szCs w:val="32"/>
        </w:rPr>
        <w:t>12</w:t>
      </w:r>
      <w:r>
        <w:rPr>
          <w:sz w:val="32"/>
          <w:szCs w:val="32"/>
        </w:rPr>
        <w:fldChar w:fldCharType="end"/>
      </w:r>
      <w:r>
        <w:rPr>
          <w:sz w:val="32"/>
          <w:szCs w:val="32"/>
        </w:rPr>
        <w:fldChar w:fldCharType="end"/>
      </w:r>
    </w:p>
    <w:p w14:paraId="653B7131">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_Toc24205 </w:instrText>
      </w:r>
      <w:r>
        <w:rPr>
          <w:sz w:val="32"/>
          <w:szCs w:val="32"/>
        </w:rPr>
        <w:fldChar w:fldCharType="separate"/>
      </w:r>
      <w:r>
        <w:rPr>
          <w:sz w:val="32"/>
          <w:szCs w:val="32"/>
        </w:rPr>
        <w:t>2.2重大项目承载需要</w:t>
      </w:r>
      <w:r>
        <w:rPr>
          <w:sz w:val="32"/>
          <w:szCs w:val="32"/>
        </w:rPr>
        <w:tab/>
      </w:r>
      <w:r>
        <w:rPr>
          <w:sz w:val="32"/>
          <w:szCs w:val="32"/>
        </w:rPr>
        <w:fldChar w:fldCharType="begin"/>
      </w:r>
      <w:r>
        <w:rPr>
          <w:sz w:val="32"/>
          <w:szCs w:val="32"/>
        </w:rPr>
        <w:instrText xml:space="preserve"> PAGEREF _Toc24205 \h </w:instrText>
      </w:r>
      <w:r>
        <w:rPr>
          <w:sz w:val="32"/>
          <w:szCs w:val="32"/>
        </w:rPr>
        <w:fldChar w:fldCharType="separate"/>
      </w:r>
      <w:r>
        <w:rPr>
          <w:sz w:val="32"/>
          <w:szCs w:val="32"/>
        </w:rPr>
        <w:t>14</w:t>
      </w:r>
      <w:r>
        <w:rPr>
          <w:sz w:val="32"/>
          <w:szCs w:val="32"/>
        </w:rPr>
        <w:fldChar w:fldCharType="end"/>
      </w:r>
      <w:r>
        <w:rPr>
          <w:sz w:val="32"/>
          <w:szCs w:val="32"/>
        </w:rPr>
        <w:fldChar w:fldCharType="end"/>
      </w:r>
    </w:p>
    <w:p w14:paraId="169611B7">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_Toc31512 </w:instrText>
      </w:r>
      <w:r>
        <w:rPr>
          <w:sz w:val="32"/>
          <w:szCs w:val="32"/>
        </w:rPr>
        <w:fldChar w:fldCharType="separate"/>
      </w:r>
      <w:r>
        <w:rPr>
          <w:rFonts w:hint="eastAsia"/>
          <w:sz w:val="32"/>
          <w:szCs w:val="32"/>
        </w:rPr>
        <w:t xml:space="preserve">三、 </w:t>
      </w:r>
      <w:r>
        <w:rPr>
          <w:sz w:val="32"/>
          <w:szCs w:val="32"/>
        </w:rPr>
        <w:t>园区规划</w:t>
      </w:r>
      <w:r>
        <w:rPr>
          <w:sz w:val="32"/>
          <w:szCs w:val="32"/>
        </w:rPr>
        <w:tab/>
      </w:r>
      <w:r>
        <w:rPr>
          <w:sz w:val="32"/>
          <w:szCs w:val="32"/>
        </w:rPr>
        <w:fldChar w:fldCharType="begin"/>
      </w:r>
      <w:r>
        <w:rPr>
          <w:sz w:val="32"/>
          <w:szCs w:val="32"/>
        </w:rPr>
        <w:instrText xml:space="preserve"> PAGEREF _Toc31512 \h </w:instrText>
      </w:r>
      <w:r>
        <w:rPr>
          <w:sz w:val="32"/>
          <w:szCs w:val="32"/>
        </w:rPr>
        <w:fldChar w:fldCharType="separate"/>
      </w:r>
      <w:r>
        <w:rPr>
          <w:sz w:val="32"/>
          <w:szCs w:val="32"/>
        </w:rPr>
        <w:t>15</w:t>
      </w:r>
      <w:r>
        <w:rPr>
          <w:sz w:val="32"/>
          <w:szCs w:val="32"/>
        </w:rPr>
        <w:fldChar w:fldCharType="end"/>
      </w:r>
      <w:r>
        <w:rPr>
          <w:sz w:val="32"/>
          <w:szCs w:val="32"/>
        </w:rPr>
        <w:fldChar w:fldCharType="end"/>
      </w:r>
    </w:p>
    <w:p w14:paraId="28C8F1BC">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_Toc6847 </w:instrText>
      </w:r>
      <w:r>
        <w:rPr>
          <w:sz w:val="32"/>
          <w:szCs w:val="32"/>
        </w:rPr>
        <w:fldChar w:fldCharType="separate"/>
      </w:r>
      <w:r>
        <w:rPr>
          <w:sz w:val="32"/>
          <w:szCs w:val="32"/>
        </w:rPr>
        <w:t>3.1总体规划思路</w:t>
      </w:r>
      <w:r>
        <w:rPr>
          <w:sz w:val="32"/>
          <w:szCs w:val="32"/>
        </w:rPr>
        <w:tab/>
      </w:r>
      <w:r>
        <w:rPr>
          <w:sz w:val="32"/>
          <w:szCs w:val="32"/>
        </w:rPr>
        <w:fldChar w:fldCharType="begin"/>
      </w:r>
      <w:r>
        <w:rPr>
          <w:sz w:val="32"/>
          <w:szCs w:val="32"/>
        </w:rPr>
        <w:instrText xml:space="preserve"> PAGEREF _Toc6847 \h </w:instrText>
      </w:r>
      <w:r>
        <w:rPr>
          <w:sz w:val="32"/>
          <w:szCs w:val="32"/>
        </w:rPr>
        <w:fldChar w:fldCharType="separate"/>
      </w:r>
      <w:r>
        <w:rPr>
          <w:sz w:val="32"/>
          <w:szCs w:val="32"/>
        </w:rPr>
        <w:t>15</w:t>
      </w:r>
      <w:r>
        <w:rPr>
          <w:sz w:val="32"/>
          <w:szCs w:val="32"/>
        </w:rPr>
        <w:fldChar w:fldCharType="end"/>
      </w:r>
      <w:r>
        <w:rPr>
          <w:sz w:val="32"/>
          <w:szCs w:val="32"/>
        </w:rPr>
        <w:fldChar w:fldCharType="end"/>
      </w:r>
    </w:p>
    <w:p w14:paraId="77A16E87">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_Toc291 </w:instrText>
      </w:r>
      <w:r>
        <w:rPr>
          <w:sz w:val="32"/>
          <w:szCs w:val="32"/>
        </w:rPr>
        <w:fldChar w:fldCharType="separate"/>
      </w:r>
      <w:r>
        <w:rPr>
          <w:sz w:val="32"/>
          <w:szCs w:val="32"/>
        </w:rPr>
        <w:t>3.1</w:t>
      </w:r>
      <w:r>
        <w:rPr>
          <w:rFonts w:hint="eastAsia"/>
          <w:sz w:val="32"/>
          <w:szCs w:val="32"/>
        </w:rPr>
        <w:t>.1</w:t>
      </w:r>
      <w:r>
        <w:rPr>
          <w:sz w:val="32"/>
          <w:szCs w:val="32"/>
        </w:rPr>
        <w:t>规划范围</w:t>
      </w:r>
      <w:r>
        <w:rPr>
          <w:sz w:val="32"/>
          <w:szCs w:val="32"/>
        </w:rPr>
        <w:tab/>
      </w:r>
      <w:r>
        <w:rPr>
          <w:sz w:val="32"/>
          <w:szCs w:val="32"/>
        </w:rPr>
        <w:fldChar w:fldCharType="begin"/>
      </w:r>
      <w:r>
        <w:rPr>
          <w:sz w:val="32"/>
          <w:szCs w:val="32"/>
        </w:rPr>
        <w:instrText xml:space="preserve"> PAGEREF _Toc291 \h </w:instrText>
      </w:r>
      <w:r>
        <w:rPr>
          <w:sz w:val="32"/>
          <w:szCs w:val="32"/>
        </w:rPr>
        <w:fldChar w:fldCharType="separate"/>
      </w:r>
      <w:r>
        <w:rPr>
          <w:sz w:val="32"/>
          <w:szCs w:val="32"/>
        </w:rPr>
        <w:t>15</w:t>
      </w:r>
      <w:r>
        <w:rPr>
          <w:sz w:val="32"/>
          <w:szCs w:val="32"/>
        </w:rPr>
        <w:fldChar w:fldCharType="end"/>
      </w:r>
      <w:r>
        <w:rPr>
          <w:sz w:val="32"/>
          <w:szCs w:val="32"/>
        </w:rPr>
        <w:fldChar w:fldCharType="end"/>
      </w:r>
    </w:p>
    <w:p w14:paraId="2C5091E4">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_Toc20061 </w:instrText>
      </w:r>
      <w:r>
        <w:rPr>
          <w:sz w:val="32"/>
          <w:szCs w:val="32"/>
        </w:rPr>
        <w:fldChar w:fldCharType="separate"/>
      </w:r>
      <w:r>
        <w:rPr>
          <w:rFonts w:hint="eastAsia"/>
          <w:sz w:val="32"/>
          <w:szCs w:val="32"/>
        </w:rPr>
        <w:t>3.1.2</w:t>
      </w:r>
      <w:r>
        <w:rPr>
          <w:sz w:val="32"/>
          <w:szCs w:val="32"/>
        </w:rPr>
        <w:t>规划空间布局</w:t>
      </w:r>
      <w:r>
        <w:rPr>
          <w:sz w:val="32"/>
          <w:szCs w:val="32"/>
        </w:rPr>
        <w:tab/>
      </w:r>
      <w:r>
        <w:rPr>
          <w:sz w:val="32"/>
          <w:szCs w:val="32"/>
        </w:rPr>
        <w:fldChar w:fldCharType="begin"/>
      </w:r>
      <w:r>
        <w:rPr>
          <w:sz w:val="32"/>
          <w:szCs w:val="32"/>
        </w:rPr>
        <w:instrText xml:space="preserve"> PAGEREF _Toc20061 \h </w:instrText>
      </w:r>
      <w:r>
        <w:rPr>
          <w:sz w:val="32"/>
          <w:szCs w:val="32"/>
        </w:rPr>
        <w:fldChar w:fldCharType="separate"/>
      </w:r>
      <w:r>
        <w:rPr>
          <w:sz w:val="32"/>
          <w:szCs w:val="32"/>
        </w:rPr>
        <w:t>16</w:t>
      </w:r>
      <w:r>
        <w:rPr>
          <w:sz w:val="32"/>
          <w:szCs w:val="32"/>
        </w:rPr>
        <w:fldChar w:fldCharType="end"/>
      </w:r>
      <w:r>
        <w:rPr>
          <w:sz w:val="32"/>
          <w:szCs w:val="32"/>
        </w:rPr>
        <w:fldChar w:fldCharType="end"/>
      </w:r>
    </w:p>
    <w:p w14:paraId="511C9688">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_Toc13361 </w:instrText>
      </w:r>
      <w:r>
        <w:rPr>
          <w:sz w:val="32"/>
          <w:szCs w:val="32"/>
        </w:rPr>
        <w:fldChar w:fldCharType="separate"/>
      </w:r>
      <w:r>
        <w:rPr>
          <w:sz w:val="32"/>
          <w:szCs w:val="32"/>
        </w:rPr>
        <w:t>3.2产业发展规划思路</w:t>
      </w:r>
      <w:r>
        <w:rPr>
          <w:sz w:val="32"/>
          <w:szCs w:val="32"/>
        </w:rPr>
        <w:tab/>
      </w:r>
      <w:r>
        <w:rPr>
          <w:sz w:val="32"/>
          <w:szCs w:val="32"/>
        </w:rPr>
        <w:fldChar w:fldCharType="begin"/>
      </w:r>
      <w:r>
        <w:rPr>
          <w:sz w:val="32"/>
          <w:szCs w:val="32"/>
        </w:rPr>
        <w:instrText xml:space="preserve"> PAGEREF _Toc13361 \h </w:instrText>
      </w:r>
      <w:r>
        <w:rPr>
          <w:sz w:val="32"/>
          <w:szCs w:val="32"/>
        </w:rPr>
        <w:fldChar w:fldCharType="separate"/>
      </w:r>
      <w:r>
        <w:rPr>
          <w:sz w:val="32"/>
          <w:szCs w:val="32"/>
        </w:rPr>
        <w:t>17</w:t>
      </w:r>
      <w:r>
        <w:rPr>
          <w:sz w:val="32"/>
          <w:szCs w:val="32"/>
        </w:rPr>
        <w:fldChar w:fldCharType="end"/>
      </w:r>
      <w:r>
        <w:rPr>
          <w:sz w:val="32"/>
          <w:szCs w:val="32"/>
        </w:rPr>
        <w:fldChar w:fldCharType="end"/>
      </w:r>
    </w:p>
    <w:p w14:paraId="6BA4C915">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_Toc28184 </w:instrText>
      </w:r>
      <w:r>
        <w:rPr>
          <w:sz w:val="32"/>
          <w:szCs w:val="32"/>
        </w:rPr>
        <w:fldChar w:fldCharType="separate"/>
      </w:r>
      <w:r>
        <w:rPr>
          <w:rFonts w:hint="eastAsia"/>
          <w:sz w:val="32"/>
          <w:szCs w:val="32"/>
        </w:rPr>
        <w:t>3.2.1</w:t>
      </w:r>
      <w:r>
        <w:rPr>
          <w:sz w:val="32"/>
          <w:szCs w:val="32"/>
        </w:rPr>
        <w:t>产业定位</w:t>
      </w:r>
      <w:r>
        <w:rPr>
          <w:sz w:val="32"/>
          <w:szCs w:val="32"/>
        </w:rPr>
        <w:tab/>
      </w:r>
      <w:r>
        <w:rPr>
          <w:sz w:val="32"/>
          <w:szCs w:val="32"/>
        </w:rPr>
        <w:fldChar w:fldCharType="begin"/>
      </w:r>
      <w:r>
        <w:rPr>
          <w:sz w:val="32"/>
          <w:szCs w:val="32"/>
        </w:rPr>
        <w:instrText xml:space="preserve"> PAGEREF _Toc28184 \h </w:instrText>
      </w:r>
      <w:r>
        <w:rPr>
          <w:sz w:val="32"/>
          <w:szCs w:val="32"/>
        </w:rPr>
        <w:fldChar w:fldCharType="separate"/>
      </w:r>
      <w:r>
        <w:rPr>
          <w:sz w:val="32"/>
          <w:szCs w:val="32"/>
        </w:rPr>
        <w:t>17</w:t>
      </w:r>
      <w:r>
        <w:rPr>
          <w:sz w:val="32"/>
          <w:szCs w:val="32"/>
        </w:rPr>
        <w:fldChar w:fldCharType="end"/>
      </w:r>
      <w:r>
        <w:rPr>
          <w:sz w:val="32"/>
          <w:szCs w:val="32"/>
        </w:rPr>
        <w:fldChar w:fldCharType="end"/>
      </w:r>
    </w:p>
    <w:p w14:paraId="20F17510">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_Toc17001 </w:instrText>
      </w:r>
      <w:r>
        <w:rPr>
          <w:sz w:val="32"/>
          <w:szCs w:val="32"/>
        </w:rPr>
        <w:fldChar w:fldCharType="separate"/>
      </w:r>
      <w:r>
        <w:rPr>
          <w:rFonts w:hint="eastAsia"/>
          <w:sz w:val="32"/>
          <w:szCs w:val="32"/>
        </w:rPr>
        <w:t>3.2.2发展定位</w:t>
      </w:r>
      <w:r>
        <w:rPr>
          <w:sz w:val="32"/>
          <w:szCs w:val="32"/>
        </w:rPr>
        <w:tab/>
      </w:r>
      <w:r>
        <w:rPr>
          <w:sz w:val="32"/>
          <w:szCs w:val="32"/>
        </w:rPr>
        <w:fldChar w:fldCharType="begin"/>
      </w:r>
      <w:r>
        <w:rPr>
          <w:sz w:val="32"/>
          <w:szCs w:val="32"/>
        </w:rPr>
        <w:instrText xml:space="preserve"> PAGEREF _Toc17001 \h </w:instrText>
      </w:r>
      <w:r>
        <w:rPr>
          <w:sz w:val="32"/>
          <w:szCs w:val="32"/>
        </w:rPr>
        <w:fldChar w:fldCharType="separate"/>
      </w:r>
      <w:r>
        <w:rPr>
          <w:sz w:val="32"/>
          <w:szCs w:val="32"/>
        </w:rPr>
        <w:t>17</w:t>
      </w:r>
      <w:r>
        <w:rPr>
          <w:sz w:val="32"/>
          <w:szCs w:val="32"/>
        </w:rPr>
        <w:fldChar w:fldCharType="end"/>
      </w:r>
      <w:r>
        <w:rPr>
          <w:sz w:val="32"/>
          <w:szCs w:val="32"/>
        </w:rPr>
        <w:fldChar w:fldCharType="end"/>
      </w:r>
    </w:p>
    <w:p w14:paraId="53FC8E55">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_Toc13013 </w:instrText>
      </w:r>
      <w:r>
        <w:rPr>
          <w:sz w:val="32"/>
          <w:szCs w:val="32"/>
        </w:rPr>
        <w:fldChar w:fldCharType="separate"/>
      </w:r>
      <w:r>
        <w:rPr>
          <w:rFonts w:hint="eastAsia"/>
          <w:sz w:val="32"/>
          <w:szCs w:val="32"/>
        </w:rPr>
        <w:t>3.2.3</w:t>
      </w:r>
      <w:r>
        <w:rPr>
          <w:sz w:val="32"/>
          <w:szCs w:val="32"/>
        </w:rPr>
        <w:t>产业发展思路</w:t>
      </w:r>
      <w:r>
        <w:rPr>
          <w:sz w:val="32"/>
          <w:szCs w:val="32"/>
        </w:rPr>
        <w:tab/>
      </w:r>
      <w:r>
        <w:rPr>
          <w:sz w:val="32"/>
          <w:szCs w:val="32"/>
        </w:rPr>
        <w:fldChar w:fldCharType="begin"/>
      </w:r>
      <w:r>
        <w:rPr>
          <w:sz w:val="32"/>
          <w:szCs w:val="32"/>
        </w:rPr>
        <w:instrText xml:space="preserve"> PAGEREF _Toc13013 \h </w:instrText>
      </w:r>
      <w:r>
        <w:rPr>
          <w:sz w:val="32"/>
          <w:szCs w:val="32"/>
        </w:rPr>
        <w:fldChar w:fldCharType="separate"/>
      </w:r>
      <w:r>
        <w:rPr>
          <w:sz w:val="32"/>
          <w:szCs w:val="32"/>
        </w:rPr>
        <w:t>17</w:t>
      </w:r>
      <w:r>
        <w:rPr>
          <w:sz w:val="32"/>
          <w:szCs w:val="32"/>
        </w:rPr>
        <w:fldChar w:fldCharType="end"/>
      </w:r>
      <w:r>
        <w:rPr>
          <w:sz w:val="32"/>
          <w:szCs w:val="32"/>
        </w:rPr>
        <w:fldChar w:fldCharType="end"/>
      </w:r>
    </w:p>
    <w:p w14:paraId="3B1FF68E">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_Toc32552 </w:instrText>
      </w:r>
      <w:r>
        <w:rPr>
          <w:sz w:val="32"/>
          <w:szCs w:val="32"/>
        </w:rPr>
        <w:fldChar w:fldCharType="separate"/>
      </w:r>
      <w:r>
        <w:rPr>
          <w:rFonts w:hint="eastAsia"/>
          <w:sz w:val="32"/>
          <w:szCs w:val="32"/>
        </w:rPr>
        <w:t>3.2.4</w:t>
      </w:r>
      <w:r>
        <w:rPr>
          <w:sz w:val="32"/>
          <w:szCs w:val="32"/>
        </w:rPr>
        <w:t>产业发展目标</w:t>
      </w:r>
      <w:r>
        <w:rPr>
          <w:sz w:val="32"/>
          <w:szCs w:val="32"/>
        </w:rPr>
        <w:tab/>
      </w:r>
      <w:r>
        <w:rPr>
          <w:sz w:val="32"/>
          <w:szCs w:val="32"/>
        </w:rPr>
        <w:fldChar w:fldCharType="begin"/>
      </w:r>
      <w:r>
        <w:rPr>
          <w:sz w:val="32"/>
          <w:szCs w:val="32"/>
        </w:rPr>
        <w:instrText xml:space="preserve"> PAGEREF _Toc32552 \h </w:instrText>
      </w:r>
      <w:r>
        <w:rPr>
          <w:sz w:val="32"/>
          <w:szCs w:val="32"/>
        </w:rPr>
        <w:fldChar w:fldCharType="separate"/>
      </w:r>
      <w:r>
        <w:rPr>
          <w:sz w:val="32"/>
          <w:szCs w:val="32"/>
        </w:rPr>
        <w:t>19</w:t>
      </w:r>
      <w:r>
        <w:rPr>
          <w:sz w:val="32"/>
          <w:szCs w:val="32"/>
        </w:rPr>
        <w:fldChar w:fldCharType="end"/>
      </w:r>
      <w:r>
        <w:rPr>
          <w:sz w:val="32"/>
          <w:szCs w:val="32"/>
        </w:rPr>
        <w:fldChar w:fldCharType="end"/>
      </w:r>
    </w:p>
    <w:p w14:paraId="7E15B68F">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_Toc20571 </w:instrText>
      </w:r>
      <w:r>
        <w:rPr>
          <w:sz w:val="32"/>
          <w:szCs w:val="32"/>
        </w:rPr>
        <w:fldChar w:fldCharType="separate"/>
      </w:r>
      <w:r>
        <w:rPr>
          <w:rFonts w:hint="eastAsia"/>
          <w:sz w:val="32"/>
          <w:szCs w:val="32"/>
        </w:rPr>
        <w:t>3.2.5</w:t>
      </w:r>
      <w:r>
        <w:rPr>
          <w:sz w:val="32"/>
          <w:szCs w:val="32"/>
        </w:rPr>
        <w:t>产业发展重点</w:t>
      </w:r>
      <w:r>
        <w:rPr>
          <w:sz w:val="32"/>
          <w:szCs w:val="32"/>
        </w:rPr>
        <w:tab/>
      </w:r>
      <w:r>
        <w:rPr>
          <w:sz w:val="32"/>
          <w:szCs w:val="32"/>
        </w:rPr>
        <w:fldChar w:fldCharType="begin"/>
      </w:r>
      <w:r>
        <w:rPr>
          <w:sz w:val="32"/>
          <w:szCs w:val="32"/>
        </w:rPr>
        <w:instrText xml:space="preserve"> PAGEREF _Toc20571 \h </w:instrText>
      </w:r>
      <w:r>
        <w:rPr>
          <w:sz w:val="32"/>
          <w:szCs w:val="32"/>
        </w:rPr>
        <w:fldChar w:fldCharType="separate"/>
      </w:r>
      <w:r>
        <w:rPr>
          <w:sz w:val="32"/>
          <w:szCs w:val="32"/>
        </w:rPr>
        <w:t>19</w:t>
      </w:r>
      <w:r>
        <w:rPr>
          <w:sz w:val="32"/>
          <w:szCs w:val="32"/>
        </w:rPr>
        <w:fldChar w:fldCharType="end"/>
      </w:r>
      <w:r>
        <w:rPr>
          <w:sz w:val="32"/>
          <w:szCs w:val="32"/>
        </w:rPr>
        <w:fldChar w:fldCharType="end"/>
      </w:r>
    </w:p>
    <w:p w14:paraId="3E68D4B3">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_Toc19824 </w:instrText>
      </w:r>
      <w:r>
        <w:rPr>
          <w:sz w:val="32"/>
          <w:szCs w:val="32"/>
        </w:rPr>
        <w:fldChar w:fldCharType="separate"/>
      </w:r>
      <w:r>
        <w:rPr>
          <w:sz w:val="32"/>
          <w:szCs w:val="32"/>
        </w:rPr>
        <w:t>四、选址报告</w:t>
      </w:r>
      <w:r>
        <w:rPr>
          <w:sz w:val="32"/>
          <w:szCs w:val="32"/>
        </w:rPr>
        <w:tab/>
      </w:r>
      <w:r>
        <w:rPr>
          <w:sz w:val="32"/>
          <w:szCs w:val="32"/>
        </w:rPr>
        <w:fldChar w:fldCharType="begin"/>
      </w:r>
      <w:r>
        <w:rPr>
          <w:sz w:val="32"/>
          <w:szCs w:val="32"/>
        </w:rPr>
        <w:instrText xml:space="preserve"> PAGEREF _Toc19824 \h </w:instrText>
      </w:r>
      <w:r>
        <w:rPr>
          <w:sz w:val="32"/>
          <w:szCs w:val="32"/>
        </w:rPr>
        <w:fldChar w:fldCharType="separate"/>
      </w:r>
      <w:r>
        <w:rPr>
          <w:sz w:val="32"/>
          <w:szCs w:val="32"/>
        </w:rPr>
        <w:t>24</w:t>
      </w:r>
      <w:r>
        <w:rPr>
          <w:sz w:val="32"/>
          <w:szCs w:val="32"/>
        </w:rPr>
        <w:fldChar w:fldCharType="end"/>
      </w:r>
      <w:r>
        <w:rPr>
          <w:sz w:val="32"/>
          <w:szCs w:val="32"/>
        </w:rPr>
        <w:fldChar w:fldCharType="end"/>
      </w:r>
    </w:p>
    <w:p w14:paraId="36614C4A">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_Toc2708 </w:instrText>
      </w:r>
      <w:r>
        <w:rPr>
          <w:sz w:val="32"/>
          <w:szCs w:val="32"/>
        </w:rPr>
        <w:fldChar w:fldCharType="separate"/>
      </w:r>
      <w:r>
        <w:rPr>
          <w:sz w:val="32"/>
          <w:szCs w:val="32"/>
        </w:rPr>
        <w:t>4.1国土空间规划相符性分析</w:t>
      </w:r>
      <w:r>
        <w:rPr>
          <w:sz w:val="32"/>
          <w:szCs w:val="32"/>
        </w:rPr>
        <w:tab/>
      </w:r>
      <w:r>
        <w:rPr>
          <w:sz w:val="32"/>
          <w:szCs w:val="32"/>
        </w:rPr>
        <w:fldChar w:fldCharType="begin"/>
      </w:r>
      <w:r>
        <w:rPr>
          <w:sz w:val="32"/>
          <w:szCs w:val="32"/>
        </w:rPr>
        <w:instrText xml:space="preserve"> PAGEREF _Toc2708 \h </w:instrText>
      </w:r>
      <w:r>
        <w:rPr>
          <w:sz w:val="32"/>
          <w:szCs w:val="32"/>
        </w:rPr>
        <w:fldChar w:fldCharType="separate"/>
      </w:r>
      <w:r>
        <w:rPr>
          <w:sz w:val="32"/>
          <w:szCs w:val="32"/>
        </w:rPr>
        <w:t>24</w:t>
      </w:r>
      <w:r>
        <w:rPr>
          <w:sz w:val="32"/>
          <w:szCs w:val="32"/>
        </w:rPr>
        <w:fldChar w:fldCharType="end"/>
      </w:r>
      <w:r>
        <w:rPr>
          <w:sz w:val="32"/>
          <w:szCs w:val="32"/>
        </w:rPr>
        <w:fldChar w:fldCharType="end"/>
      </w:r>
    </w:p>
    <w:p w14:paraId="1241BB88">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_Toc25261 </w:instrText>
      </w:r>
      <w:r>
        <w:rPr>
          <w:sz w:val="32"/>
          <w:szCs w:val="32"/>
        </w:rPr>
        <w:fldChar w:fldCharType="separate"/>
      </w:r>
      <w:r>
        <w:rPr>
          <w:rFonts w:hint="eastAsia"/>
          <w:sz w:val="32"/>
          <w:szCs w:val="32"/>
        </w:rPr>
        <w:t>4.1.1</w:t>
      </w:r>
      <w:r>
        <w:rPr>
          <w:sz w:val="32"/>
          <w:szCs w:val="32"/>
        </w:rPr>
        <w:t>城镇开发边界分析</w:t>
      </w:r>
      <w:r>
        <w:rPr>
          <w:sz w:val="32"/>
          <w:szCs w:val="32"/>
        </w:rPr>
        <w:tab/>
      </w:r>
      <w:r>
        <w:rPr>
          <w:sz w:val="32"/>
          <w:szCs w:val="32"/>
        </w:rPr>
        <w:fldChar w:fldCharType="begin"/>
      </w:r>
      <w:r>
        <w:rPr>
          <w:sz w:val="32"/>
          <w:szCs w:val="32"/>
        </w:rPr>
        <w:instrText xml:space="preserve"> PAGEREF _Toc25261 \h </w:instrText>
      </w:r>
      <w:r>
        <w:rPr>
          <w:sz w:val="32"/>
          <w:szCs w:val="32"/>
        </w:rPr>
        <w:fldChar w:fldCharType="separate"/>
      </w:r>
      <w:r>
        <w:rPr>
          <w:sz w:val="32"/>
          <w:szCs w:val="32"/>
        </w:rPr>
        <w:t>24</w:t>
      </w:r>
      <w:r>
        <w:rPr>
          <w:sz w:val="32"/>
          <w:szCs w:val="32"/>
        </w:rPr>
        <w:fldChar w:fldCharType="end"/>
      </w:r>
      <w:r>
        <w:rPr>
          <w:sz w:val="32"/>
          <w:szCs w:val="32"/>
        </w:rPr>
        <w:fldChar w:fldCharType="end"/>
      </w:r>
    </w:p>
    <w:p w14:paraId="44C40202">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_Toc26049 </w:instrText>
      </w:r>
      <w:r>
        <w:rPr>
          <w:sz w:val="32"/>
          <w:szCs w:val="32"/>
        </w:rPr>
        <w:fldChar w:fldCharType="separate"/>
      </w:r>
      <w:r>
        <w:rPr>
          <w:rFonts w:hint="eastAsia"/>
          <w:sz w:val="32"/>
          <w:szCs w:val="32"/>
        </w:rPr>
        <w:t>4.1.2</w:t>
      </w:r>
      <w:r>
        <w:rPr>
          <w:sz w:val="32"/>
          <w:szCs w:val="32"/>
        </w:rPr>
        <w:t>永久基本农田分析</w:t>
      </w:r>
      <w:r>
        <w:rPr>
          <w:sz w:val="32"/>
          <w:szCs w:val="32"/>
        </w:rPr>
        <w:tab/>
      </w:r>
      <w:r>
        <w:rPr>
          <w:sz w:val="32"/>
          <w:szCs w:val="32"/>
        </w:rPr>
        <w:fldChar w:fldCharType="begin"/>
      </w:r>
      <w:r>
        <w:rPr>
          <w:sz w:val="32"/>
          <w:szCs w:val="32"/>
        </w:rPr>
        <w:instrText xml:space="preserve"> PAGEREF _Toc26049 \h </w:instrText>
      </w:r>
      <w:r>
        <w:rPr>
          <w:sz w:val="32"/>
          <w:szCs w:val="32"/>
        </w:rPr>
        <w:fldChar w:fldCharType="separate"/>
      </w:r>
      <w:r>
        <w:rPr>
          <w:sz w:val="32"/>
          <w:szCs w:val="32"/>
        </w:rPr>
        <w:t>24</w:t>
      </w:r>
      <w:r>
        <w:rPr>
          <w:sz w:val="32"/>
          <w:szCs w:val="32"/>
        </w:rPr>
        <w:fldChar w:fldCharType="end"/>
      </w:r>
      <w:r>
        <w:rPr>
          <w:sz w:val="32"/>
          <w:szCs w:val="32"/>
        </w:rPr>
        <w:fldChar w:fldCharType="end"/>
      </w:r>
    </w:p>
    <w:p w14:paraId="6101D964">
      <w:pPr>
        <w:pStyle w:val="style21"/>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_Toc19608 </w:instrText>
      </w:r>
      <w:r>
        <w:rPr>
          <w:sz w:val="32"/>
          <w:szCs w:val="32"/>
        </w:rPr>
        <w:fldChar w:fldCharType="separate"/>
      </w:r>
      <w:r>
        <w:rPr>
          <w:rFonts w:hint="eastAsia"/>
          <w:sz w:val="32"/>
          <w:szCs w:val="32"/>
        </w:rPr>
        <w:t>4.1.3</w:t>
      </w:r>
      <w:r>
        <w:rPr>
          <w:sz w:val="32"/>
          <w:szCs w:val="32"/>
        </w:rPr>
        <w:t>生态保护红线</w:t>
      </w:r>
      <w:r>
        <w:rPr>
          <w:sz w:val="32"/>
          <w:szCs w:val="32"/>
        </w:rPr>
        <w:tab/>
      </w:r>
      <w:r>
        <w:rPr>
          <w:sz w:val="32"/>
          <w:szCs w:val="32"/>
        </w:rPr>
        <w:fldChar w:fldCharType="begin"/>
      </w:r>
      <w:r>
        <w:rPr>
          <w:sz w:val="32"/>
          <w:szCs w:val="32"/>
        </w:rPr>
        <w:instrText xml:space="preserve"> PAGEREF _Toc19608 \h </w:instrText>
      </w:r>
      <w:r>
        <w:rPr>
          <w:sz w:val="32"/>
          <w:szCs w:val="32"/>
        </w:rPr>
        <w:fldChar w:fldCharType="separate"/>
      </w:r>
      <w:r>
        <w:rPr>
          <w:sz w:val="32"/>
          <w:szCs w:val="32"/>
        </w:rPr>
        <w:t>24</w:t>
      </w:r>
      <w:r>
        <w:rPr>
          <w:sz w:val="32"/>
          <w:szCs w:val="32"/>
        </w:rPr>
        <w:fldChar w:fldCharType="end"/>
      </w:r>
      <w:r>
        <w:rPr>
          <w:sz w:val="32"/>
          <w:szCs w:val="32"/>
        </w:rPr>
        <w:fldChar w:fldCharType="end"/>
      </w:r>
    </w:p>
    <w:p w14:paraId="28F8C4CF">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_Toc20810 </w:instrText>
      </w:r>
      <w:r>
        <w:rPr>
          <w:sz w:val="32"/>
          <w:szCs w:val="32"/>
        </w:rPr>
        <w:fldChar w:fldCharType="separate"/>
      </w:r>
      <w:r>
        <w:rPr>
          <w:sz w:val="32"/>
          <w:szCs w:val="32"/>
        </w:rPr>
        <w:t>4.2选址环境合理性分析</w:t>
      </w:r>
      <w:r>
        <w:rPr>
          <w:sz w:val="32"/>
          <w:szCs w:val="32"/>
        </w:rPr>
        <w:tab/>
      </w:r>
      <w:r>
        <w:rPr>
          <w:sz w:val="32"/>
          <w:szCs w:val="32"/>
        </w:rPr>
        <w:fldChar w:fldCharType="begin"/>
      </w:r>
      <w:r>
        <w:rPr>
          <w:sz w:val="32"/>
          <w:szCs w:val="32"/>
        </w:rPr>
        <w:instrText xml:space="preserve"> PAGEREF _Toc20810 \h </w:instrText>
      </w:r>
      <w:r>
        <w:rPr>
          <w:sz w:val="32"/>
          <w:szCs w:val="32"/>
        </w:rPr>
        <w:fldChar w:fldCharType="separate"/>
      </w:r>
      <w:r>
        <w:rPr>
          <w:sz w:val="32"/>
          <w:szCs w:val="32"/>
        </w:rPr>
        <w:t>24</w:t>
      </w:r>
      <w:r>
        <w:rPr>
          <w:sz w:val="32"/>
          <w:szCs w:val="32"/>
        </w:rPr>
        <w:fldChar w:fldCharType="end"/>
      </w:r>
      <w:r>
        <w:rPr>
          <w:sz w:val="32"/>
          <w:szCs w:val="32"/>
        </w:rPr>
        <w:fldChar w:fldCharType="end"/>
      </w:r>
    </w:p>
    <w:p w14:paraId="03D7A299">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_Toc15174 </w:instrText>
      </w:r>
      <w:r>
        <w:rPr>
          <w:sz w:val="32"/>
          <w:szCs w:val="32"/>
        </w:rPr>
        <w:fldChar w:fldCharType="separate"/>
      </w:r>
      <w:r>
        <w:rPr>
          <w:sz w:val="32"/>
          <w:szCs w:val="32"/>
        </w:rPr>
        <w:t>4.3环境准入清单</w:t>
      </w:r>
      <w:r>
        <w:rPr>
          <w:sz w:val="32"/>
          <w:szCs w:val="32"/>
        </w:rPr>
        <w:tab/>
      </w:r>
      <w:r>
        <w:rPr>
          <w:sz w:val="32"/>
          <w:szCs w:val="32"/>
        </w:rPr>
        <w:fldChar w:fldCharType="begin"/>
      </w:r>
      <w:r>
        <w:rPr>
          <w:sz w:val="32"/>
          <w:szCs w:val="32"/>
        </w:rPr>
        <w:instrText xml:space="preserve"> PAGEREF _Toc15174 \h </w:instrText>
      </w:r>
      <w:r>
        <w:rPr>
          <w:sz w:val="32"/>
          <w:szCs w:val="32"/>
        </w:rPr>
        <w:fldChar w:fldCharType="separate"/>
      </w:r>
      <w:r>
        <w:rPr>
          <w:sz w:val="32"/>
          <w:szCs w:val="32"/>
        </w:rPr>
        <w:t>25</w:t>
      </w:r>
      <w:r>
        <w:rPr>
          <w:sz w:val="32"/>
          <w:szCs w:val="32"/>
        </w:rPr>
        <w:fldChar w:fldCharType="end"/>
      </w:r>
      <w:r>
        <w:rPr>
          <w:sz w:val="32"/>
          <w:szCs w:val="32"/>
        </w:rPr>
        <w:fldChar w:fldCharType="end"/>
      </w:r>
    </w:p>
    <w:p w14:paraId="72052E25">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_Toc27152 </w:instrText>
      </w:r>
      <w:r>
        <w:rPr>
          <w:sz w:val="32"/>
          <w:szCs w:val="32"/>
        </w:rPr>
        <w:fldChar w:fldCharType="separate"/>
      </w:r>
      <w:r>
        <w:rPr>
          <w:sz w:val="32"/>
          <w:szCs w:val="32"/>
        </w:rPr>
        <w:t>4.4区域环境影响</w:t>
      </w:r>
      <w:r>
        <w:rPr>
          <w:sz w:val="32"/>
          <w:szCs w:val="32"/>
        </w:rPr>
        <w:tab/>
      </w:r>
      <w:r>
        <w:rPr>
          <w:sz w:val="32"/>
          <w:szCs w:val="32"/>
        </w:rPr>
        <w:fldChar w:fldCharType="begin"/>
      </w:r>
      <w:r>
        <w:rPr>
          <w:sz w:val="32"/>
          <w:szCs w:val="32"/>
        </w:rPr>
        <w:instrText xml:space="preserve"> PAGEREF _Toc27152 \h </w:instrText>
      </w:r>
      <w:r>
        <w:rPr>
          <w:sz w:val="32"/>
          <w:szCs w:val="32"/>
        </w:rPr>
        <w:fldChar w:fldCharType="separate"/>
      </w:r>
      <w:r>
        <w:rPr>
          <w:sz w:val="32"/>
          <w:szCs w:val="32"/>
        </w:rPr>
        <w:t>25</w:t>
      </w:r>
      <w:r>
        <w:rPr>
          <w:sz w:val="32"/>
          <w:szCs w:val="32"/>
        </w:rPr>
        <w:fldChar w:fldCharType="end"/>
      </w:r>
      <w:r>
        <w:rPr>
          <w:sz w:val="32"/>
          <w:szCs w:val="32"/>
        </w:rPr>
        <w:fldChar w:fldCharType="end"/>
      </w:r>
    </w:p>
    <w:p w14:paraId="1349D2E1">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_Toc22694 </w:instrText>
      </w:r>
      <w:r>
        <w:rPr>
          <w:sz w:val="32"/>
          <w:szCs w:val="32"/>
        </w:rPr>
        <w:fldChar w:fldCharType="separate"/>
      </w:r>
      <w:r>
        <w:rPr>
          <w:sz w:val="32"/>
          <w:szCs w:val="32"/>
        </w:rPr>
        <w:t>4.5整体性安全风险</w:t>
      </w:r>
      <w:r>
        <w:rPr>
          <w:sz w:val="32"/>
          <w:szCs w:val="32"/>
        </w:rPr>
        <w:tab/>
      </w:r>
      <w:r>
        <w:rPr>
          <w:sz w:val="32"/>
          <w:szCs w:val="32"/>
        </w:rPr>
        <w:fldChar w:fldCharType="begin"/>
      </w:r>
      <w:r>
        <w:rPr>
          <w:sz w:val="32"/>
          <w:szCs w:val="32"/>
        </w:rPr>
        <w:instrText xml:space="preserve"> PAGEREF _Toc22694 \h </w:instrText>
      </w:r>
      <w:r>
        <w:rPr>
          <w:sz w:val="32"/>
          <w:szCs w:val="32"/>
        </w:rPr>
        <w:fldChar w:fldCharType="separate"/>
      </w:r>
      <w:r>
        <w:rPr>
          <w:sz w:val="32"/>
          <w:szCs w:val="32"/>
        </w:rPr>
        <w:t>29</w:t>
      </w:r>
      <w:r>
        <w:rPr>
          <w:sz w:val="32"/>
          <w:szCs w:val="32"/>
        </w:rPr>
        <w:fldChar w:fldCharType="end"/>
      </w:r>
      <w:r>
        <w:rPr>
          <w:sz w:val="32"/>
          <w:szCs w:val="32"/>
        </w:rPr>
        <w:fldChar w:fldCharType="end"/>
      </w:r>
    </w:p>
    <w:p w14:paraId="41D41D1B">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_Toc6263 </w:instrText>
      </w:r>
      <w:r>
        <w:rPr>
          <w:sz w:val="32"/>
          <w:szCs w:val="32"/>
        </w:rPr>
        <w:fldChar w:fldCharType="separate"/>
      </w:r>
      <w:r>
        <w:rPr>
          <w:sz w:val="32"/>
          <w:szCs w:val="32"/>
        </w:rPr>
        <w:t>4.6地质灾害风险</w:t>
      </w:r>
      <w:r>
        <w:rPr>
          <w:sz w:val="32"/>
          <w:szCs w:val="32"/>
        </w:rPr>
        <w:tab/>
      </w:r>
      <w:r>
        <w:rPr>
          <w:sz w:val="32"/>
          <w:szCs w:val="32"/>
        </w:rPr>
        <w:fldChar w:fldCharType="begin"/>
      </w:r>
      <w:r>
        <w:rPr>
          <w:sz w:val="32"/>
          <w:szCs w:val="32"/>
        </w:rPr>
        <w:instrText xml:space="preserve"> PAGEREF _Toc6263 \h </w:instrText>
      </w:r>
      <w:r>
        <w:rPr>
          <w:sz w:val="32"/>
          <w:szCs w:val="32"/>
        </w:rPr>
        <w:fldChar w:fldCharType="separate"/>
      </w:r>
      <w:r>
        <w:rPr>
          <w:sz w:val="32"/>
          <w:szCs w:val="32"/>
        </w:rPr>
        <w:t>30</w:t>
      </w:r>
      <w:r>
        <w:rPr>
          <w:sz w:val="32"/>
          <w:szCs w:val="32"/>
        </w:rPr>
        <w:fldChar w:fldCharType="end"/>
      </w:r>
      <w:r>
        <w:rPr>
          <w:sz w:val="32"/>
          <w:szCs w:val="32"/>
        </w:rPr>
        <w:fldChar w:fldCharType="end"/>
      </w:r>
    </w:p>
    <w:p w14:paraId="7AA8CFC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_Toc252 </w:instrText>
      </w:r>
      <w:r>
        <w:rPr>
          <w:sz w:val="32"/>
          <w:szCs w:val="32"/>
        </w:rPr>
        <w:fldChar w:fldCharType="separate"/>
      </w:r>
      <w:r>
        <w:rPr>
          <w:sz w:val="32"/>
          <w:szCs w:val="32"/>
        </w:rPr>
        <w:t>4.7净空区、全年静风频率分析</w:t>
      </w:r>
      <w:r>
        <w:rPr>
          <w:sz w:val="32"/>
          <w:szCs w:val="32"/>
        </w:rPr>
        <w:tab/>
      </w:r>
      <w:r>
        <w:rPr>
          <w:sz w:val="32"/>
          <w:szCs w:val="32"/>
        </w:rPr>
        <w:fldChar w:fldCharType="begin"/>
      </w:r>
      <w:r>
        <w:rPr>
          <w:sz w:val="32"/>
          <w:szCs w:val="32"/>
        </w:rPr>
        <w:instrText xml:space="preserve"> PAGEREF _Toc252 \h </w:instrText>
      </w:r>
      <w:r>
        <w:rPr>
          <w:sz w:val="32"/>
          <w:szCs w:val="32"/>
        </w:rPr>
        <w:fldChar w:fldCharType="separate"/>
      </w:r>
      <w:r>
        <w:rPr>
          <w:sz w:val="32"/>
          <w:szCs w:val="32"/>
        </w:rPr>
        <w:t>30</w:t>
      </w:r>
      <w:r>
        <w:rPr>
          <w:sz w:val="32"/>
          <w:szCs w:val="32"/>
        </w:rPr>
        <w:fldChar w:fldCharType="end"/>
      </w:r>
      <w:r>
        <w:rPr>
          <w:sz w:val="32"/>
          <w:szCs w:val="32"/>
        </w:rPr>
        <w:fldChar w:fldCharType="end"/>
      </w:r>
    </w:p>
    <w:p w14:paraId="2C7F606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_Toc12151 </w:instrText>
      </w:r>
      <w:r>
        <w:rPr>
          <w:sz w:val="32"/>
          <w:szCs w:val="32"/>
        </w:rPr>
        <w:fldChar w:fldCharType="separate"/>
      </w:r>
      <w:r>
        <w:rPr>
          <w:sz w:val="32"/>
          <w:szCs w:val="32"/>
        </w:rPr>
        <w:t>4.8区域城乡历史文化资源</w:t>
      </w:r>
      <w:r>
        <w:rPr>
          <w:sz w:val="32"/>
          <w:szCs w:val="32"/>
        </w:rPr>
        <w:tab/>
      </w:r>
      <w:r>
        <w:rPr>
          <w:sz w:val="32"/>
          <w:szCs w:val="32"/>
        </w:rPr>
        <w:fldChar w:fldCharType="begin"/>
      </w:r>
      <w:r>
        <w:rPr>
          <w:sz w:val="32"/>
          <w:szCs w:val="32"/>
        </w:rPr>
        <w:instrText xml:space="preserve"> PAGEREF _Toc12151 \h </w:instrText>
      </w:r>
      <w:r>
        <w:rPr>
          <w:sz w:val="32"/>
          <w:szCs w:val="32"/>
        </w:rPr>
        <w:fldChar w:fldCharType="separate"/>
      </w:r>
      <w:r>
        <w:rPr>
          <w:sz w:val="32"/>
          <w:szCs w:val="32"/>
        </w:rPr>
        <w:t>30</w:t>
      </w:r>
      <w:r>
        <w:rPr>
          <w:sz w:val="32"/>
          <w:szCs w:val="32"/>
        </w:rPr>
        <w:fldChar w:fldCharType="end"/>
      </w:r>
      <w:r>
        <w:rPr>
          <w:sz w:val="32"/>
          <w:szCs w:val="32"/>
        </w:rPr>
        <w:fldChar w:fldCharType="end"/>
      </w:r>
    </w:p>
    <w:p w14:paraId="1BC82FC8">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_Toc3094 </w:instrText>
      </w:r>
      <w:r>
        <w:rPr>
          <w:sz w:val="32"/>
          <w:szCs w:val="32"/>
        </w:rPr>
        <w:fldChar w:fldCharType="separate"/>
      </w:r>
      <w:r>
        <w:rPr>
          <w:sz w:val="32"/>
          <w:szCs w:val="32"/>
        </w:rPr>
        <w:t>五、基础设施建设方案</w:t>
      </w:r>
      <w:r>
        <w:rPr>
          <w:sz w:val="32"/>
          <w:szCs w:val="32"/>
        </w:rPr>
        <w:tab/>
      </w:r>
      <w:r>
        <w:rPr>
          <w:sz w:val="32"/>
          <w:szCs w:val="32"/>
        </w:rPr>
        <w:fldChar w:fldCharType="begin"/>
      </w:r>
      <w:r>
        <w:rPr>
          <w:sz w:val="32"/>
          <w:szCs w:val="32"/>
        </w:rPr>
        <w:instrText xml:space="preserve"> PAGEREF _Toc3094 \h </w:instrText>
      </w:r>
      <w:r>
        <w:rPr>
          <w:sz w:val="32"/>
          <w:szCs w:val="32"/>
        </w:rPr>
        <w:fldChar w:fldCharType="separate"/>
      </w:r>
      <w:r>
        <w:rPr>
          <w:sz w:val="32"/>
          <w:szCs w:val="32"/>
        </w:rPr>
        <w:t>31</w:t>
      </w:r>
      <w:r>
        <w:rPr>
          <w:sz w:val="32"/>
          <w:szCs w:val="32"/>
        </w:rPr>
        <w:fldChar w:fldCharType="end"/>
      </w:r>
      <w:r>
        <w:rPr>
          <w:sz w:val="32"/>
          <w:szCs w:val="32"/>
        </w:rPr>
        <w:fldChar w:fldCharType="end"/>
      </w:r>
    </w:p>
    <w:p w14:paraId="450192F1">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_Toc7541 </w:instrText>
      </w:r>
      <w:r>
        <w:rPr>
          <w:sz w:val="32"/>
          <w:szCs w:val="32"/>
        </w:rPr>
        <w:fldChar w:fldCharType="separate"/>
      </w:r>
      <w:r>
        <w:rPr>
          <w:sz w:val="32"/>
          <w:szCs w:val="32"/>
        </w:rPr>
        <w:t>5.1公共基础设施规划</w:t>
      </w:r>
      <w:r>
        <w:rPr>
          <w:sz w:val="32"/>
          <w:szCs w:val="32"/>
        </w:rPr>
        <w:tab/>
      </w:r>
      <w:r>
        <w:rPr>
          <w:sz w:val="32"/>
          <w:szCs w:val="32"/>
        </w:rPr>
        <w:fldChar w:fldCharType="begin"/>
      </w:r>
      <w:r>
        <w:rPr>
          <w:sz w:val="32"/>
          <w:szCs w:val="32"/>
        </w:rPr>
        <w:instrText xml:space="preserve"> PAGEREF _Toc7541 \h </w:instrText>
      </w:r>
      <w:r>
        <w:rPr>
          <w:sz w:val="32"/>
          <w:szCs w:val="32"/>
        </w:rPr>
        <w:fldChar w:fldCharType="separate"/>
      </w:r>
      <w:r>
        <w:rPr>
          <w:sz w:val="32"/>
          <w:szCs w:val="32"/>
        </w:rPr>
        <w:t>31</w:t>
      </w:r>
      <w:r>
        <w:rPr>
          <w:sz w:val="32"/>
          <w:szCs w:val="32"/>
        </w:rPr>
        <w:fldChar w:fldCharType="end"/>
      </w:r>
      <w:r>
        <w:rPr>
          <w:sz w:val="32"/>
          <w:szCs w:val="32"/>
        </w:rPr>
        <w:fldChar w:fldCharType="end"/>
      </w:r>
    </w:p>
    <w:p w14:paraId="4AA50A6F">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_Toc5459 </w:instrText>
      </w:r>
      <w:r>
        <w:rPr>
          <w:sz w:val="32"/>
          <w:szCs w:val="32"/>
        </w:rPr>
        <w:fldChar w:fldCharType="separate"/>
      </w:r>
      <w:r>
        <w:rPr>
          <w:sz w:val="32"/>
          <w:szCs w:val="32"/>
        </w:rPr>
        <w:t>5.2封闭化管理规划</w:t>
      </w:r>
      <w:r>
        <w:rPr>
          <w:sz w:val="32"/>
          <w:szCs w:val="32"/>
        </w:rPr>
        <w:tab/>
      </w:r>
      <w:r>
        <w:rPr>
          <w:sz w:val="32"/>
          <w:szCs w:val="32"/>
        </w:rPr>
        <w:fldChar w:fldCharType="begin"/>
      </w:r>
      <w:r>
        <w:rPr>
          <w:sz w:val="32"/>
          <w:szCs w:val="32"/>
        </w:rPr>
        <w:instrText xml:space="preserve"> PAGEREF _Toc5459 \h </w:instrText>
      </w:r>
      <w:r>
        <w:rPr>
          <w:sz w:val="32"/>
          <w:szCs w:val="32"/>
        </w:rPr>
        <w:fldChar w:fldCharType="separate"/>
      </w:r>
      <w:r>
        <w:rPr>
          <w:sz w:val="32"/>
          <w:szCs w:val="32"/>
        </w:rPr>
        <w:t>32</w:t>
      </w:r>
      <w:r>
        <w:rPr>
          <w:sz w:val="32"/>
          <w:szCs w:val="32"/>
        </w:rPr>
        <w:fldChar w:fldCharType="end"/>
      </w:r>
      <w:r>
        <w:rPr>
          <w:sz w:val="32"/>
          <w:szCs w:val="32"/>
        </w:rPr>
        <w:fldChar w:fldCharType="end"/>
      </w:r>
    </w:p>
    <w:p w14:paraId="78C8E1E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_Toc1209 </w:instrText>
      </w:r>
      <w:r>
        <w:rPr>
          <w:sz w:val="32"/>
          <w:szCs w:val="32"/>
        </w:rPr>
        <w:fldChar w:fldCharType="separate"/>
      </w:r>
      <w:r>
        <w:rPr>
          <w:sz w:val="32"/>
          <w:szCs w:val="32"/>
        </w:rPr>
        <w:t>5.3危险化学品车辆专用停车场规划</w:t>
      </w:r>
      <w:r>
        <w:rPr>
          <w:sz w:val="32"/>
          <w:szCs w:val="32"/>
        </w:rPr>
        <w:tab/>
      </w:r>
      <w:r>
        <w:rPr>
          <w:sz w:val="32"/>
          <w:szCs w:val="32"/>
        </w:rPr>
        <w:fldChar w:fldCharType="begin"/>
      </w:r>
      <w:r>
        <w:rPr>
          <w:sz w:val="32"/>
          <w:szCs w:val="32"/>
        </w:rPr>
        <w:instrText xml:space="preserve"> PAGEREF _Toc1209 \h </w:instrText>
      </w:r>
      <w:r>
        <w:rPr>
          <w:sz w:val="32"/>
          <w:szCs w:val="32"/>
        </w:rPr>
        <w:fldChar w:fldCharType="separate"/>
      </w:r>
      <w:r>
        <w:rPr>
          <w:sz w:val="32"/>
          <w:szCs w:val="32"/>
        </w:rPr>
        <w:t>32</w:t>
      </w:r>
      <w:r>
        <w:rPr>
          <w:sz w:val="32"/>
          <w:szCs w:val="32"/>
        </w:rPr>
        <w:fldChar w:fldCharType="end"/>
      </w:r>
      <w:r>
        <w:rPr>
          <w:sz w:val="32"/>
          <w:szCs w:val="32"/>
        </w:rPr>
        <w:fldChar w:fldCharType="end"/>
      </w:r>
    </w:p>
    <w:p w14:paraId="202D198C">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_Toc24755 </w:instrText>
      </w:r>
      <w:r>
        <w:rPr>
          <w:sz w:val="32"/>
          <w:szCs w:val="32"/>
        </w:rPr>
        <w:fldChar w:fldCharType="separate"/>
      </w:r>
      <w:r>
        <w:rPr>
          <w:sz w:val="32"/>
          <w:szCs w:val="32"/>
        </w:rPr>
        <w:t>5.4应急能力建设规划</w:t>
      </w:r>
      <w:r>
        <w:rPr>
          <w:sz w:val="32"/>
          <w:szCs w:val="32"/>
        </w:rPr>
        <w:tab/>
      </w:r>
      <w:r>
        <w:rPr>
          <w:sz w:val="32"/>
          <w:szCs w:val="32"/>
        </w:rPr>
        <w:fldChar w:fldCharType="begin"/>
      </w:r>
      <w:r>
        <w:rPr>
          <w:sz w:val="32"/>
          <w:szCs w:val="32"/>
        </w:rPr>
        <w:instrText xml:space="preserve"> PAGEREF _Toc24755 \h </w:instrText>
      </w:r>
      <w:r>
        <w:rPr>
          <w:sz w:val="32"/>
          <w:szCs w:val="32"/>
        </w:rPr>
        <w:fldChar w:fldCharType="separate"/>
      </w:r>
      <w:r>
        <w:rPr>
          <w:sz w:val="32"/>
          <w:szCs w:val="32"/>
        </w:rPr>
        <w:t>33</w:t>
      </w:r>
      <w:r>
        <w:rPr>
          <w:sz w:val="32"/>
          <w:szCs w:val="32"/>
        </w:rPr>
        <w:fldChar w:fldCharType="end"/>
      </w:r>
      <w:r>
        <w:rPr>
          <w:sz w:val="32"/>
          <w:szCs w:val="32"/>
        </w:rPr>
        <w:fldChar w:fldCharType="end"/>
      </w:r>
    </w:p>
    <w:p w14:paraId="7EF2570B">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_Toc184 </w:instrText>
      </w:r>
      <w:r>
        <w:rPr>
          <w:sz w:val="32"/>
          <w:szCs w:val="32"/>
        </w:rPr>
        <w:fldChar w:fldCharType="separate"/>
      </w:r>
      <w:r>
        <w:rPr>
          <w:sz w:val="32"/>
          <w:szCs w:val="32"/>
        </w:rPr>
        <w:t>5.5化工实训基地建设规划</w:t>
      </w:r>
      <w:r>
        <w:rPr>
          <w:sz w:val="32"/>
          <w:szCs w:val="32"/>
        </w:rPr>
        <w:tab/>
      </w:r>
      <w:r>
        <w:rPr>
          <w:sz w:val="32"/>
          <w:szCs w:val="32"/>
        </w:rPr>
        <w:fldChar w:fldCharType="begin"/>
      </w:r>
      <w:r>
        <w:rPr>
          <w:sz w:val="32"/>
          <w:szCs w:val="32"/>
        </w:rPr>
        <w:instrText xml:space="preserve"> PAGEREF _Toc184 \h </w:instrText>
      </w:r>
      <w:r>
        <w:rPr>
          <w:sz w:val="32"/>
          <w:szCs w:val="32"/>
        </w:rPr>
        <w:fldChar w:fldCharType="separate"/>
      </w:r>
      <w:r>
        <w:rPr>
          <w:sz w:val="32"/>
          <w:szCs w:val="32"/>
        </w:rPr>
        <w:t>34</w:t>
      </w:r>
      <w:r>
        <w:rPr>
          <w:sz w:val="32"/>
          <w:szCs w:val="32"/>
        </w:rPr>
        <w:fldChar w:fldCharType="end"/>
      </w:r>
      <w:r>
        <w:rPr>
          <w:sz w:val="32"/>
          <w:szCs w:val="32"/>
        </w:rPr>
        <w:fldChar w:fldCharType="end"/>
      </w:r>
    </w:p>
    <w:p w14:paraId="3895D29D">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_Toc11648 </w:instrText>
      </w:r>
      <w:r>
        <w:rPr>
          <w:sz w:val="32"/>
          <w:szCs w:val="32"/>
        </w:rPr>
        <w:fldChar w:fldCharType="separate"/>
      </w:r>
      <w:r>
        <w:rPr>
          <w:sz w:val="32"/>
          <w:szCs w:val="32"/>
        </w:rPr>
        <w:t>5.6固废处置及环境预警体系建设规划</w:t>
      </w:r>
      <w:r>
        <w:rPr>
          <w:sz w:val="32"/>
          <w:szCs w:val="32"/>
        </w:rPr>
        <w:tab/>
      </w:r>
      <w:r>
        <w:rPr>
          <w:sz w:val="32"/>
          <w:szCs w:val="32"/>
        </w:rPr>
        <w:fldChar w:fldCharType="begin"/>
      </w:r>
      <w:r>
        <w:rPr>
          <w:sz w:val="32"/>
          <w:szCs w:val="32"/>
        </w:rPr>
        <w:instrText xml:space="preserve"> PAGEREF _Toc11648 \h </w:instrText>
      </w:r>
      <w:r>
        <w:rPr>
          <w:sz w:val="32"/>
          <w:szCs w:val="32"/>
        </w:rPr>
        <w:fldChar w:fldCharType="separate"/>
      </w:r>
      <w:r>
        <w:rPr>
          <w:sz w:val="32"/>
          <w:szCs w:val="32"/>
        </w:rPr>
        <w:t>34</w:t>
      </w:r>
      <w:r>
        <w:rPr>
          <w:sz w:val="32"/>
          <w:szCs w:val="32"/>
        </w:rPr>
        <w:fldChar w:fldCharType="end"/>
      </w:r>
      <w:r>
        <w:rPr>
          <w:sz w:val="32"/>
          <w:szCs w:val="32"/>
        </w:rPr>
        <w:fldChar w:fldCharType="end"/>
      </w:r>
    </w:p>
    <w:p w14:paraId="06BEEB3B">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_Toc18062 </w:instrText>
      </w:r>
      <w:r>
        <w:rPr>
          <w:sz w:val="32"/>
          <w:szCs w:val="32"/>
        </w:rPr>
        <w:fldChar w:fldCharType="separate"/>
      </w:r>
      <w:r>
        <w:rPr>
          <w:sz w:val="32"/>
          <w:szCs w:val="32"/>
        </w:rPr>
        <w:t>5.7“一企一管”及配套污水处理厂建设规划</w:t>
      </w:r>
      <w:r>
        <w:rPr>
          <w:sz w:val="32"/>
          <w:szCs w:val="32"/>
        </w:rPr>
        <w:tab/>
      </w:r>
      <w:r>
        <w:rPr>
          <w:sz w:val="32"/>
          <w:szCs w:val="32"/>
        </w:rPr>
        <w:fldChar w:fldCharType="begin"/>
      </w:r>
      <w:r>
        <w:rPr>
          <w:sz w:val="32"/>
          <w:szCs w:val="32"/>
        </w:rPr>
        <w:instrText xml:space="preserve"> PAGEREF _Toc18062 \h </w:instrText>
      </w:r>
      <w:r>
        <w:rPr>
          <w:sz w:val="32"/>
          <w:szCs w:val="32"/>
        </w:rPr>
        <w:fldChar w:fldCharType="separate"/>
      </w:r>
      <w:r>
        <w:rPr>
          <w:sz w:val="32"/>
          <w:szCs w:val="32"/>
        </w:rPr>
        <w:t>35</w:t>
      </w:r>
      <w:r>
        <w:rPr>
          <w:sz w:val="32"/>
          <w:szCs w:val="32"/>
        </w:rPr>
        <w:fldChar w:fldCharType="end"/>
      </w:r>
      <w:r>
        <w:rPr>
          <w:sz w:val="32"/>
          <w:szCs w:val="32"/>
        </w:rPr>
        <w:fldChar w:fldCharType="end"/>
      </w:r>
    </w:p>
    <w:p w14:paraId="09CE771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_Toc2916 </w:instrText>
      </w:r>
      <w:r>
        <w:rPr>
          <w:sz w:val="32"/>
          <w:szCs w:val="32"/>
        </w:rPr>
        <w:fldChar w:fldCharType="separate"/>
      </w:r>
      <w:r>
        <w:rPr>
          <w:sz w:val="32"/>
          <w:szCs w:val="32"/>
        </w:rPr>
        <w:t>5.8三级防控等保障体系建设规划</w:t>
      </w:r>
      <w:r>
        <w:rPr>
          <w:sz w:val="32"/>
          <w:szCs w:val="32"/>
        </w:rPr>
        <w:tab/>
      </w:r>
      <w:r>
        <w:rPr>
          <w:sz w:val="32"/>
          <w:szCs w:val="32"/>
        </w:rPr>
        <w:fldChar w:fldCharType="begin"/>
      </w:r>
      <w:r>
        <w:rPr>
          <w:sz w:val="32"/>
          <w:szCs w:val="32"/>
        </w:rPr>
        <w:instrText xml:space="preserve"> PAGEREF _Toc2916 \h </w:instrText>
      </w:r>
      <w:r>
        <w:rPr>
          <w:sz w:val="32"/>
          <w:szCs w:val="32"/>
        </w:rPr>
        <w:fldChar w:fldCharType="separate"/>
      </w:r>
      <w:r>
        <w:rPr>
          <w:sz w:val="32"/>
          <w:szCs w:val="32"/>
        </w:rPr>
        <w:t>36</w:t>
      </w:r>
      <w:r>
        <w:rPr>
          <w:sz w:val="32"/>
          <w:szCs w:val="32"/>
        </w:rPr>
        <w:fldChar w:fldCharType="end"/>
      </w:r>
      <w:r>
        <w:rPr>
          <w:sz w:val="32"/>
          <w:szCs w:val="32"/>
        </w:rPr>
        <w:fldChar w:fldCharType="end"/>
      </w:r>
    </w:p>
    <w:p w14:paraId="1D2F7B2E">
      <w:pPr>
        <w:pStyle w:val="style20"/>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sz w:val="32"/>
          <w:szCs w:val="32"/>
        </w:rPr>
      </w:pPr>
      <w:r>
        <w:rPr>
          <w:sz w:val="32"/>
          <w:szCs w:val="32"/>
        </w:rPr>
        <w:fldChar w:fldCharType="begin"/>
      </w:r>
      <w:r>
        <w:rPr>
          <w:sz w:val="32"/>
          <w:szCs w:val="32"/>
        </w:rPr>
        <w:instrText xml:space="preserve"> HYPERLINK \l _Toc597 </w:instrText>
      </w:r>
      <w:r>
        <w:rPr>
          <w:sz w:val="32"/>
          <w:szCs w:val="32"/>
        </w:rPr>
        <w:fldChar w:fldCharType="separate"/>
      </w:r>
      <w:r>
        <w:rPr>
          <w:sz w:val="32"/>
          <w:szCs w:val="32"/>
        </w:rPr>
        <w:t>5.9信息化平台建设规划</w:t>
      </w:r>
      <w:r>
        <w:rPr>
          <w:sz w:val="32"/>
          <w:szCs w:val="32"/>
        </w:rPr>
        <w:tab/>
      </w:r>
      <w:r>
        <w:rPr>
          <w:sz w:val="32"/>
          <w:szCs w:val="32"/>
        </w:rPr>
        <w:fldChar w:fldCharType="begin"/>
      </w:r>
      <w:r>
        <w:rPr>
          <w:sz w:val="32"/>
          <w:szCs w:val="32"/>
        </w:rPr>
        <w:instrText xml:space="preserve"> PAGEREF _Toc597 \h </w:instrText>
      </w:r>
      <w:r>
        <w:rPr>
          <w:sz w:val="32"/>
          <w:szCs w:val="32"/>
        </w:rPr>
        <w:fldChar w:fldCharType="separate"/>
      </w:r>
      <w:r>
        <w:rPr>
          <w:sz w:val="32"/>
          <w:szCs w:val="32"/>
        </w:rPr>
        <w:t>37</w:t>
      </w:r>
      <w:r>
        <w:rPr>
          <w:sz w:val="32"/>
          <w:szCs w:val="32"/>
        </w:rPr>
        <w:fldChar w:fldCharType="end"/>
      </w:r>
      <w:r>
        <w:rPr>
          <w:sz w:val="32"/>
          <w:szCs w:val="32"/>
        </w:rPr>
        <w:fldChar w:fldCharType="end"/>
      </w:r>
    </w:p>
    <w:p w14:paraId="50990765">
      <w:pPr>
        <w:pStyle w:val="style19"/>
        <w:keepNext w:val="false"/>
        <w:keepLines w:val="false"/>
        <w:pageBreakBefore w:val="false"/>
        <w:widowControl w:val="false"/>
        <w:tabs>
          <w:tab w:val="right" w:leader="dot" w:pos="8300"/>
        </w:tabs>
        <w:kinsoku/>
        <w:wordWrap/>
        <w:overflowPunct/>
        <w:topLinePunct w:val="false"/>
        <w:autoSpaceDE/>
        <w:autoSpaceDN/>
        <w:bidi w:val="false"/>
        <w:adjustRightInd/>
        <w:snapToGrid/>
        <w:spacing w:lineRule="exact" w:line="560"/>
        <w:textAlignment w:val="auto"/>
        <w:rPr/>
      </w:pPr>
      <w:r>
        <w:rPr>
          <w:sz w:val="32"/>
          <w:szCs w:val="32"/>
        </w:rPr>
        <w:fldChar w:fldCharType="begin"/>
      </w:r>
      <w:r>
        <w:rPr>
          <w:sz w:val="32"/>
          <w:szCs w:val="32"/>
        </w:rPr>
        <w:instrText xml:space="preserve"> HYPERLINK \l _Toc11479 </w:instrText>
      </w:r>
      <w:r>
        <w:rPr>
          <w:sz w:val="32"/>
          <w:szCs w:val="32"/>
        </w:rPr>
        <w:fldChar w:fldCharType="separate"/>
      </w:r>
      <w:r>
        <w:rPr>
          <w:sz w:val="32"/>
          <w:szCs w:val="32"/>
        </w:rPr>
        <w:t>六、园区管理机构设置方案及其管理工作方案</w:t>
      </w:r>
      <w:r>
        <w:rPr>
          <w:sz w:val="32"/>
          <w:szCs w:val="32"/>
        </w:rPr>
        <w:tab/>
      </w:r>
      <w:r>
        <w:rPr>
          <w:sz w:val="32"/>
          <w:szCs w:val="32"/>
        </w:rPr>
        <w:fldChar w:fldCharType="begin"/>
      </w:r>
      <w:r>
        <w:rPr>
          <w:sz w:val="32"/>
          <w:szCs w:val="32"/>
        </w:rPr>
        <w:instrText xml:space="preserve"> PAGEREF _Toc11479 \h </w:instrText>
      </w:r>
      <w:r>
        <w:rPr>
          <w:sz w:val="32"/>
          <w:szCs w:val="32"/>
        </w:rPr>
        <w:fldChar w:fldCharType="separate"/>
      </w:r>
      <w:r>
        <w:rPr>
          <w:sz w:val="32"/>
          <w:szCs w:val="32"/>
        </w:rPr>
        <w:t>38</w:t>
      </w:r>
      <w:r>
        <w:rPr>
          <w:sz w:val="32"/>
          <w:szCs w:val="32"/>
        </w:rPr>
        <w:fldChar w:fldCharType="end"/>
      </w:r>
      <w:r>
        <w:rPr>
          <w:sz w:val="32"/>
          <w:szCs w:val="32"/>
        </w:rPr>
        <w:fldChar w:fldCharType="end"/>
      </w:r>
    </w:p>
    <w:p w14:paraId="679EE77B">
      <w:pPr>
        <w:pStyle w:val="style0"/>
        <w:spacing w:lineRule="exact" w:line="560"/>
        <w:ind w:firstLine="640"/>
        <w:rPr>
          <w:sz w:val="32"/>
        </w:rPr>
      </w:pPr>
      <w:r>
        <w:rPr/>
        <w:fldChar w:fldCharType="end"/>
      </w:r>
    </w:p>
    <w:p w14:paraId="5623491A">
      <w:pPr>
        <w:pStyle w:val="style1"/>
        <w:spacing w:lineRule="exact" w:line="560"/>
        <w:rPr>
          <w:rFonts w:hint="default"/>
        </w:rPr>
        <w:sectPr>
          <w:headerReference w:type="default" r:id="rId8"/>
          <w:footerReference w:type="default" r:id="rId9"/>
          <w:pgSz w:w="11906" w:h="16838" w:orient="portrait"/>
          <w:pgMar w:top="1440" w:right="1803" w:bottom="1440" w:left="1803" w:header="851" w:footer="992" w:gutter="0"/>
          <w:cols w:space="0" w:num="1"/>
          <w:docGrid w:type="lines" w:linePitch="388" w:charSpace="0"/>
        </w:sectPr>
      </w:pPr>
    </w:p>
    <w:bookmarkStart w:id="1" w:name="_Toc2137"/>
    <w:p w14:paraId="22B8481C">
      <w:pPr>
        <w:pStyle w:val="style1"/>
        <w:spacing w:lineRule="exact" w:line="560"/>
        <w:rPr>
          <w:rFonts w:hint="default"/>
        </w:rPr>
      </w:pPr>
      <w:r>
        <w:t>一、园区基本情况</w:t>
      </w:r>
      <w:bookmarkEnd w:id="1"/>
    </w:p>
    <w:bookmarkStart w:id="2" w:name="_Toc14291"/>
    <w:bookmarkStart w:id="3" w:name="_Toc32502"/>
    <w:bookmarkStart w:id="4" w:name="_Toc23745"/>
    <w:bookmarkStart w:id="5" w:name="_Toc17615"/>
    <w:p w14:paraId="12B30F99">
      <w:pPr>
        <w:pStyle w:val="style2"/>
        <w:spacing w:lineRule="exact" w:line="560"/>
        <w:rPr>
          <w:rFonts w:hint="default"/>
          <w:sz w:val="32"/>
        </w:rPr>
      </w:pPr>
      <w:r>
        <w:rPr>
          <w:sz w:val="32"/>
        </w:rPr>
        <w:t>1.1灌云县临港产业区化工产业园现状概况</w:t>
      </w:r>
      <w:bookmarkEnd w:id="2"/>
      <w:bookmarkEnd w:id="3"/>
      <w:bookmarkEnd w:id="4"/>
    </w:p>
    <w:p w14:paraId="7A6A279C">
      <w:pPr>
        <w:pStyle w:val="style0"/>
        <w:spacing w:lineRule="exact" w:line="560"/>
        <w:ind w:firstLine="640"/>
        <w:rPr>
          <w:sz w:val="32"/>
        </w:rPr>
      </w:pPr>
      <w:r>
        <w:rPr>
          <w:sz w:val="32"/>
        </w:rPr>
        <w:t>灌云县临港产业区</w:t>
      </w:r>
      <w:r>
        <w:rPr>
          <w:rFonts w:hint="eastAsia"/>
          <w:sz w:val="32"/>
        </w:rPr>
        <w:t>化工产业园（以下简称“化工产业园”）</w:t>
      </w:r>
      <w:r>
        <w:rPr>
          <w:sz w:val="32"/>
        </w:rPr>
        <w:t>位于江苏省连云港市灌云县，与位于连云港徐圩新区的连云港石化产业基地（以下称</w:t>
      </w:r>
      <w:r>
        <w:rPr>
          <w:rFonts w:hint="eastAsia"/>
          <w:sz w:val="32"/>
        </w:rPr>
        <w:t>“</w:t>
      </w:r>
      <w:r>
        <w:rPr>
          <w:sz w:val="32"/>
        </w:rPr>
        <w:t>连云港石化基地</w:t>
      </w:r>
      <w:r>
        <w:rPr>
          <w:rFonts w:hint="eastAsia"/>
          <w:sz w:val="32"/>
        </w:rPr>
        <w:t>”</w:t>
      </w:r>
      <w:r>
        <w:rPr>
          <w:sz w:val="32"/>
        </w:rPr>
        <w:t>）相邻，始建于2005年3月，起初仅规划建设3.41平方公里的启动区。</w:t>
      </w:r>
    </w:p>
    <w:p w14:paraId="557E935E">
      <w:pPr>
        <w:pStyle w:val="style0"/>
        <w:spacing w:lineRule="exact" w:line="560"/>
        <w:ind w:firstLine="640"/>
        <w:rPr>
          <w:sz w:val="32"/>
        </w:rPr>
      </w:pPr>
      <w:r>
        <w:rPr>
          <w:sz w:val="32"/>
        </w:rPr>
        <w:t>连云港市政府于2010年批复建设灌云县临港产业区化工集中区（连政复﹝2010﹞12号），区域四至范围为北至纬九路、西至规划经六路（现经七路）、东和南至324省道（总面积10.2平方公里，含启动区3.41平方公里），产业以精细化工等三类工业为主。2017年，连云港市政府对该化工集中区的西侧边界进行调整，新增面积0.6平方公里，总面积10.8平方公里（连政复﹝2017﹞20号。</w:t>
      </w:r>
      <w:r>
        <w:rPr>
          <w:rFonts w:hint="eastAsia"/>
          <w:sz w:val="32"/>
        </w:rPr>
        <w:t>2021年，连云港市政府批复调整</w:t>
      </w:r>
      <w:r>
        <w:rPr>
          <w:sz w:val="32"/>
        </w:rPr>
        <w:t>规划范围</w:t>
      </w:r>
      <w:r>
        <w:rPr>
          <w:rFonts w:hint="eastAsia"/>
          <w:sz w:val="32"/>
        </w:rPr>
        <w:t>为</w:t>
      </w:r>
      <w:r>
        <w:rPr>
          <w:sz w:val="32"/>
        </w:rPr>
        <w:t>东邻原省道324、西至经七路、南邻国道G228、北至纬九路，规划面积10.64平方公里。</w:t>
      </w:r>
    </w:p>
    <w:p w14:paraId="73E85530">
      <w:pPr>
        <w:pStyle w:val="style0"/>
        <w:spacing w:lineRule="exact" w:line="560"/>
        <w:ind w:firstLine="640"/>
        <w:rPr>
          <w:sz w:val="32"/>
        </w:rPr>
      </w:pPr>
      <w:r>
        <w:rPr>
          <w:sz w:val="32"/>
        </w:rPr>
        <w:t>2020年10月，</w:t>
      </w:r>
      <w:r>
        <w:rPr>
          <w:rFonts w:hint="eastAsia"/>
          <w:sz w:val="32"/>
        </w:rPr>
        <w:t>根据</w:t>
      </w:r>
      <w:r>
        <w:rPr>
          <w:sz w:val="32"/>
        </w:rPr>
        <w:t>《省政府关于加强全省化工园区化工集中区规范化管理的通知》</w:t>
      </w:r>
      <w:r>
        <w:rPr>
          <w:rFonts w:hint="eastAsia"/>
          <w:sz w:val="32"/>
        </w:rPr>
        <w:t>，</w:t>
      </w:r>
      <w:r>
        <w:rPr>
          <w:sz w:val="32"/>
        </w:rPr>
        <w:t>灌云县临港产业区化工产业园</w:t>
      </w:r>
      <w:r>
        <w:rPr>
          <w:rFonts w:hint="eastAsia"/>
          <w:sz w:val="32"/>
        </w:rPr>
        <w:t>认定为化工集中区，并明确作</w:t>
      </w:r>
      <w:r>
        <w:rPr>
          <w:sz w:val="32"/>
        </w:rPr>
        <w:t>为连云港石化产业基地拓展区。2023年5月，</w:t>
      </w:r>
      <w:r>
        <w:rPr>
          <w:rFonts w:hint="eastAsia"/>
          <w:sz w:val="32"/>
        </w:rPr>
        <w:t>根据《省政府关于公布江苏省化工园区认定复核通过名单（第一批）的通知》（苏政发</w:t>
      </w:r>
      <w:r>
        <w:rPr>
          <w:sz w:val="32"/>
        </w:rPr>
        <w:t>﹝20</w:t>
      </w:r>
      <w:r>
        <w:rPr>
          <w:rFonts w:hint="eastAsia"/>
          <w:sz w:val="32"/>
        </w:rPr>
        <w:t>23</w:t>
      </w:r>
      <w:r>
        <w:rPr>
          <w:sz w:val="32"/>
        </w:rPr>
        <w:t>﹞</w:t>
      </w:r>
      <w:r>
        <w:rPr>
          <w:rFonts w:hint="eastAsia"/>
          <w:sz w:val="32"/>
        </w:rPr>
        <w:t>38号），</w:t>
      </w:r>
      <w:r>
        <w:rPr>
          <w:sz w:val="32"/>
        </w:rPr>
        <w:t>灌云县临港产业区化工产业园</w:t>
      </w:r>
      <w:r>
        <w:rPr>
          <w:rFonts w:hint="eastAsia"/>
          <w:sz w:val="32"/>
        </w:rPr>
        <w:t>通过</w:t>
      </w:r>
      <w:r>
        <w:rPr>
          <w:sz w:val="32"/>
        </w:rPr>
        <w:t>化工园区</w:t>
      </w:r>
      <w:r>
        <w:rPr>
          <w:rFonts w:hint="eastAsia"/>
          <w:sz w:val="32"/>
        </w:rPr>
        <w:t>认定复核。</w:t>
      </w:r>
    </w:p>
    <w:p w14:paraId="3318FCB0">
      <w:pPr>
        <w:pStyle w:val="style0"/>
        <w:spacing w:lineRule="exact" w:line="560"/>
        <w:ind w:firstLine="640"/>
        <w:rPr>
          <w:sz w:val="32"/>
        </w:rPr>
      </w:pPr>
      <w:r>
        <w:rPr>
          <w:rFonts w:hint="eastAsia"/>
          <w:sz w:val="32"/>
        </w:rPr>
        <w:t>临港产业区化工产业园近年来秉持减数量增质量原则，淘汰落后企业，按照江苏省化工园区整提升治的总体要求，逐步拆除关停100余家化工企业。同时产业层面腾笼换鸟，陆续引进嘉澳新能源</w:t>
      </w:r>
      <w:r>
        <w:rPr>
          <w:sz w:val="32"/>
        </w:rPr>
        <w:t>、</w:t>
      </w:r>
      <w:r>
        <w:rPr>
          <w:rFonts w:hint="eastAsia"/>
          <w:sz w:val="32"/>
        </w:rPr>
        <w:t>连云港</w:t>
      </w:r>
      <w:r>
        <w:rPr>
          <w:sz w:val="32"/>
        </w:rPr>
        <w:t>碱厂</w:t>
      </w:r>
      <w:r>
        <w:rPr>
          <w:rFonts w:hint="eastAsia"/>
          <w:sz w:val="32"/>
        </w:rPr>
        <w:t>等优质项目。</w:t>
      </w:r>
    </w:p>
    <w:p w14:paraId="60A2B54A">
      <w:pPr>
        <w:pStyle w:val="style0"/>
        <w:spacing w:lineRule="exact" w:line="560"/>
        <w:ind w:firstLine="640"/>
        <w:rPr>
          <w:sz w:val="32"/>
        </w:rPr>
      </w:pPr>
      <w:r>
        <w:rPr>
          <w:rFonts w:hint="eastAsia"/>
          <w:sz w:val="32"/>
        </w:rPr>
        <w:t>在此情况下，依托石化基地的原料、物流优势，以及灌云县临港产业区的土地资源和基础设施条件，将石化基地拓展区发展储备区域尽快进行规划建设，为区域重大石化项目的建设拓展发展空间，形成石化基地与拓展区联动发展的新格局，助力连云港万亿石化产业集群建设。</w:t>
      </w:r>
    </w:p>
    <w:p w14:paraId="5D11D16A">
      <w:pPr>
        <w:pStyle w:val="style0"/>
        <w:spacing w:lineRule="exact" w:line="560"/>
        <w:ind w:firstLine="640"/>
        <w:rPr>
          <w:sz w:val="32"/>
        </w:rPr>
      </w:pPr>
      <w:r>
        <w:rPr>
          <w:sz w:val="32"/>
        </w:rPr>
        <w:t>2023</w:t>
      </w:r>
      <w:r>
        <w:rPr>
          <w:rFonts w:hint="eastAsia"/>
          <w:sz w:val="32"/>
        </w:rPr>
        <w:t>年底，江苏人民政府正式印发《江苏省化工园区管理办法》（苏政规〔</w:t>
      </w:r>
      <w:r>
        <w:rPr>
          <w:sz w:val="32"/>
        </w:rPr>
        <w:t>2023</w:t>
      </w:r>
      <w:r>
        <w:rPr>
          <w:rFonts w:hint="eastAsia"/>
          <w:sz w:val="32"/>
        </w:rPr>
        <w:t>〕</w:t>
      </w:r>
      <w:r>
        <w:rPr>
          <w:sz w:val="32"/>
        </w:rPr>
        <w:t>16</w:t>
      </w:r>
      <w:r>
        <w:rPr>
          <w:rFonts w:hint="eastAsia"/>
          <w:sz w:val="32"/>
        </w:rPr>
        <w:t>号），对江苏省内化工园区规划布局、基础设施建设、设立、区域范围调整、认定、项目入园、日常管理、取消定位等事项提出了明确的管理要求，为进一步规范化工园区管理，优化产业布局，推动石化化工行业转型升级、提质增效提供了坚实保障。在此背景下，按照《江苏省化工园区管理办法》对化工园区扩区的相关要求，</w:t>
      </w:r>
      <w:r>
        <w:rPr>
          <w:sz w:val="32"/>
        </w:rPr>
        <w:t>将《连云港石化产业基地总体发展规划（修编）》中规划的</w:t>
      </w:r>
      <w:r>
        <w:rPr>
          <w:rFonts w:hint="eastAsia"/>
          <w:sz w:val="32"/>
        </w:rPr>
        <w:t>石化基地拓展区发展储备区域作为灌云县临港产业区化工产业园（扩区部分）进行规划建设。</w:t>
      </w:r>
    </w:p>
    <w:p w14:paraId="0F9BC12D">
      <w:pPr>
        <w:pStyle w:val="style0"/>
        <w:spacing w:lineRule="exact" w:line="560"/>
        <w:ind w:firstLine="640"/>
        <w:rPr>
          <w:sz w:val="32"/>
        </w:rPr>
      </w:pPr>
      <w:r>
        <w:rPr>
          <w:rFonts w:hint="eastAsia"/>
          <w:sz w:val="32"/>
        </w:rPr>
        <w:t>化工产业园以提升产业竞争力为核心，以产业链延伸为途径，以发展高端产品集群为方向，依托连云港石化产业基地的丰富资源，围绕江苏省、长三角地区相关产业，满足终端市场需求，目前重点发展面向装备制造、汽车、交通、建筑、轻工、家电、电子信息等领域的高端化工新材料和高端精细专用化学品，并承接江苏省、连云港市化工产业转移，促进产业转型升级。将灌云县临港产业区化工产业园建设成为连云港石化产业基地产业链延伸区、发展空间拓展区，打造</w:t>
      </w:r>
      <w:r>
        <w:rPr>
          <w:rFonts w:hint="eastAsia"/>
          <w:b/>
          <w:bCs/>
          <w:sz w:val="32"/>
        </w:rPr>
        <w:t>高端化工新材料产业链</w:t>
      </w:r>
      <w:r>
        <w:rPr>
          <w:rFonts w:hint="eastAsia"/>
          <w:sz w:val="32"/>
        </w:rPr>
        <w:t>和</w:t>
      </w:r>
      <w:r>
        <w:rPr>
          <w:rFonts w:hint="eastAsia"/>
          <w:b/>
          <w:bCs/>
          <w:sz w:val="32"/>
        </w:rPr>
        <w:t>高端精细专用化学品</w:t>
      </w:r>
      <w:r>
        <w:rPr>
          <w:rFonts w:hint="eastAsia"/>
          <w:sz w:val="32"/>
        </w:rPr>
        <w:t>产业链。</w:t>
      </w:r>
    </w:p>
    <w:p w14:paraId="654EA3E0">
      <w:pPr>
        <w:pStyle w:val="style0"/>
        <w:spacing w:lineRule="exact" w:line="560"/>
        <w:ind w:firstLine="643"/>
        <w:rPr>
          <w:sz w:val="32"/>
        </w:rPr>
      </w:pPr>
      <w:r>
        <w:rPr>
          <w:b/>
          <w:bCs/>
          <w:sz w:val="32"/>
        </w:rPr>
        <w:t>（1）</w:t>
      </w:r>
      <w:r>
        <w:rPr>
          <w:rFonts w:hint="eastAsia"/>
          <w:b/>
          <w:bCs/>
          <w:sz w:val="32"/>
        </w:rPr>
        <w:t>高端化工新材料</w:t>
      </w:r>
      <w:r>
        <w:rPr>
          <w:b/>
          <w:bCs/>
          <w:sz w:val="32"/>
        </w:rPr>
        <w:t>产业链</w:t>
      </w:r>
      <w:r>
        <w:rPr>
          <w:rFonts w:hint="eastAsia"/>
          <w:b/>
          <w:bCs/>
          <w:sz w:val="32"/>
        </w:rPr>
        <w:t>：</w:t>
      </w:r>
      <w:r>
        <w:rPr>
          <w:sz w:val="32"/>
        </w:rPr>
        <w:t>园区规划未来逐步引进化工新材料及配套原料生产企业，</w:t>
      </w:r>
      <w:r>
        <w:rPr>
          <w:rFonts w:hint="eastAsia"/>
          <w:sz w:val="32"/>
        </w:rPr>
        <w:t>主要发展方向为高性能树脂、特种橡胶及弹性体、可降解塑料、差别化PET纤维等系列产品以及C5/C9的综合利用</w:t>
      </w:r>
      <w:r>
        <w:rPr>
          <w:sz w:val="32"/>
        </w:rPr>
        <w:t>。</w:t>
      </w:r>
    </w:p>
    <w:p w14:paraId="14F1C1FD">
      <w:pPr>
        <w:pStyle w:val="style0"/>
        <w:spacing w:lineRule="exact" w:line="560"/>
        <w:ind w:firstLine="643"/>
        <w:rPr>
          <w:sz w:val="32"/>
        </w:rPr>
      </w:pPr>
      <w:r>
        <w:rPr>
          <w:rFonts w:hint="eastAsia"/>
          <w:b/>
          <w:bCs/>
          <w:sz w:val="32"/>
        </w:rPr>
        <w:t>（2）</w:t>
      </w:r>
      <w:r>
        <w:rPr>
          <w:b/>
          <w:bCs/>
          <w:sz w:val="32"/>
        </w:rPr>
        <w:t>高端精细化工产品产业链</w:t>
      </w:r>
      <w:r>
        <w:rPr>
          <w:rFonts w:hint="eastAsia"/>
          <w:b/>
          <w:bCs/>
          <w:sz w:val="32"/>
        </w:rPr>
        <w:t>：</w:t>
      </w:r>
      <w:r>
        <w:rPr>
          <w:sz w:val="32"/>
        </w:rPr>
        <w:t>园区规划未来逐步引进高端精细化工产品生产企业，</w:t>
      </w:r>
      <w:r>
        <w:rPr>
          <w:rFonts w:hint="eastAsia"/>
          <w:sz w:val="32"/>
        </w:rPr>
        <w:t>着重在胶粘剂、环保涂料、高端水处理剂、高性能塑料助剂等系列产品</w:t>
      </w:r>
      <w:r>
        <w:rPr>
          <w:sz w:val="32"/>
        </w:rPr>
        <w:t>。</w:t>
      </w:r>
    </w:p>
    <w:p w14:paraId="19ABB2D2">
      <w:pPr>
        <w:pStyle w:val="style0"/>
        <w:spacing w:lineRule="exact" w:line="560"/>
        <w:ind w:firstLine="640"/>
        <w:rPr>
          <w:sz w:val="32"/>
        </w:rPr>
      </w:pPr>
      <w:r>
        <w:rPr>
          <w:rFonts w:hint="eastAsia"/>
          <w:sz w:val="32"/>
        </w:rPr>
        <w:t>目前园区内</w:t>
      </w:r>
      <w:r>
        <w:rPr>
          <w:rFonts w:hint="eastAsia"/>
          <w:sz w:val="32"/>
          <w:lang w:val="en-US" w:eastAsia="zh-CN"/>
        </w:rPr>
        <w:t>现有</w:t>
      </w:r>
      <w:r>
        <w:rPr>
          <w:rFonts w:hint="eastAsia"/>
          <w:sz w:val="32"/>
        </w:rPr>
        <w:t>化工企业共</w:t>
      </w:r>
      <w:r>
        <w:rPr>
          <w:rFonts w:hint="eastAsia"/>
          <w:sz w:val="32"/>
          <w:lang w:val="en-US" w:eastAsia="zh-CN"/>
        </w:rPr>
        <w:t>6</w:t>
      </w:r>
      <w:r>
        <w:rPr>
          <w:rFonts w:hint="eastAsia"/>
          <w:sz w:val="32"/>
        </w:rPr>
        <w:t>家。</w:t>
      </w:r>
    </w:p>
    <w:bookmarkStart w:id="6" w:name="_Toc3603"/>
    <w:bookmarkStart w:id="7" w:name="_Toc15245"/>
    <w:bookmarkStart w:id="8" w:name="_Toc15161"/>
    <w:p w14:paraId="6AF7E6B2">
      <w:pPr>
        <w:pStyle w:val="style2"/>
        <w:spacing w:lineRule="exact" w:line="560"/>
        <w:rPr>
          <w:rFonts w:hint="default"/>
          <w:sz w:val="32"/>
        </w:rPr>
      </w:pPr>
      <w:r>
        <w:rPr>
          <w:sz w:val="32"/>
        </w:rPr>
        <w:t>1.2灌云县临港产业区化工产业园扩区可行性分析</w:t>
      </w:r>
      <w:bookmarkEnd w:id="6"/>
    </w:p>
    <w:p w14:paraId="435A34A6">
      <w:pPr>
        <w:pStyle w:val="style0"/>
        <w:spacing w:lineRule="exact" w:line="560"/>
        <w:ind w:firstLine="640"/>
        <w:rPr>
          <w:sz w:val="32"/>
          <w:lang w:val="zh-CN"/>
        </w:rPr>
      </w:pPr>
      <w:r>
        <w:rPr>
          <w:sz w:val="32"/>
          <w:lang w:val="zh-CN"/>
        </w:rPr>
        <w:t>《江苏省化工园区管理办法》提出：化工园区同时符合下列条件的，可以申请扩大规划建设区域（以下简称扩区）：</w:t>
      </w:r>
    </w:p>
    <w:p w14:paraId="76A2930D">
      <w:pPr>
        <w:pStyle w:val="style0"/>
        <w:spacing w:lineRule="exact" w:line="560"/>
        <w:ind w:firstLine="640"/>
        <w:rPr>
          <w:sz w:val="32"/>
          <w:lang w:val="zh-CN"/>
        </w:rPr>
      </w:pPr>
      <w:r>
        <w:rPr>
          <w:sz w:val="32"/>
          <w:lang w:val="zh-CN"/>
        </w:rPr>
        <w:t>（一）拟扩建区域应当和现有园区在同一个县级行政区域或者省级以上开发区范围内。在同一县级行政区域但隶属不同管理体系的，由共同的上级人民政府明确化工园区和拟扩建区域管理机构以及统一管理方式。</w:t>
      </w:r>
    </w:p>
    <w:p w14:paraId="55F05641">
      <w:pPr>
        <w:pStyle w:val="style0"/>
        <w:spacing w:lineRule="exact" w:line="560"/>
        <w:ind w:firstLine="640"/>
        <w:rPr>
          <w:sz w:val="32"/>
          <w:lang w:val="zh-CN"/>
        </w:rPr>
      </w:pPr>
      <w:r>
        <w:rPr>
          <w:sz w:val="32"/>
          <w:lang w:val="zh-CN"/>
        </w:rPr>
        <w:t>（二）现有区域化工主导产业占园区营业收入的60%以上，可开发利用率不足20%, 已建成正式投产项目亩均产值苏南不低于300万元／亩、苏中不低于250万元／亩、苏北不低于200万元／亩。省人民政府文件确定的国家石化产业基地拓展区不受上述指标限制。</w:t>
      </w:r>
    </w:p>
    <w:p w14:paraId="0029D143">
      <w:pPr>
        <w:pStyle w:val="style0"/>
        <w:spacing w:lineRule="exact" w:line="560"/>
        <w:ind w:firstLine="640"/>
        <w:rPr>
          <w:sz w:val="32"/>
          <w:lang w:val="zh-CN"/>
        </w:rPr>
      </w:pPr>
      <w:r>
        <w:rPr>
          <w:sz w:val="32"/>
          <w:lang w:val="zh-CN"/>
        </w:rPr>
        <w:t>（三）申请扩区当年以及前两年度内未发生较大及以上突发环境事件，且申请时不存在区域限批、挂牌督办、重大环境安全隐患、被中央和省级生态环境保护督察以及国家和省长江经济带生态环境警示片指出存在突出生态环境问题等未完成整改销号事项。</w:t>
      </w:r>
    </w:p>
    <w:p w14:paraId="5F4D9C0E">
      <w:pPr>
        <w:pStyle w:val="style0"/>
        <w:spacing w:lineRule="exact" w:line="560"/>
        <w:ind w:firstLine="640"/>
        <w:rPr>
          <w:sz w:val="32"/>
          <w:lang w:val="zh-CN"/>
        </w:rPr>
      </w:pPr>
      <w:r>
        <w:rPr>
          <w:sz w:val="32"/>
          <w:lang w:val="zh-CN"/>
        </w:rPr>
        <w:t>（四）申请扩区当年以及前两年度内未发生较大及以上生产安全事故，安全风险评估等级为一般或者较低安全风险。</w:t>
      </w:r>
    </w:p>
    <w:p w14:paraId="3F689F14">
      <w:pPr>
        <w:pStyle w:val="style0"/>
        <w:spacing w:lineRule="exact" w:line="560"/>
        <w:ind w:firstLine="640"/>
        <w:rPr>
          <w:sz w:val="32"/>
          <w:lang w:val="zh-CN"/>
        </w:rPr>
      </w:pPr>
      <w:r>
        <w:rPr>
          <w:sz w:val="32"/>
          <w:lang w:val="zh-CN"/>
        </w:rPr>
        <w:t>灌云县临港产业区化工产业园与本次规划扩区部分同位于灌云县内，并且作为国家级石化产业基地连云港港石化产业基地的拓展区，近两年没有发生过较大环境事件及安全生产事故，安全风险评估等级为一般风险并承诺整改为较低安全风险。因此，灌云县临港产业区化工产业园符合扩区条件，扩区是可行的。</w:t>
      </w:r>
    </w:p>
    <w:bookmarkStart w:id="9" w:name="_Toc25169"/>
    <w:p w14:paraId="2BAB89E6">
      <w:pPr>
        <w:pStyle w:val="style2"/>
        <w:spacing w:lineRule="exact" w:line="560"/>
        <w:rPr>
          <w:rFonts w:hint="default"/>
          <w:sz w:val="32"/>
        </w:rPr>
      </w:pPr>
      <w:r>
        <w:rPr>
          <w:sz w:val="32"/>
        </w:rPr>
        <w:t>1.3灌云县临港产业区化工产业园拟扩区域概况</w:t>
      </w:r>
      <w:bookmarkEnd w:id="7"/>
      <w:bookmarkEnd w:id="8"/>
      <w:bookmarkEnd w:id="9"/>
    </w:p>
    <w:p w14:paraId="6ED608E7">
      <w:pPr>
        <w:pStyle w:val="style0"/>
        <w:spacing w:lineRule="exact" w:line="560"/>
        <w:ind w:firstLine="640"/>
        <w:rPr>
          <w:sz w:val="32"/>
        </w:rPr>
      </w:pPr>
      <w:r>
        <w:rPr>
          <w:rFonts w:cs="Times New Roman" w:hint="eastAsia"/>
          <w:sz w:val="32"/>
          <w:szCs w:val="28"/>
        </w:rPr>
        <w:t>灌云县临港产业区化工产业园拟扩区域（扩区部分）（简称“化工产业园（扩区部分）”）位于</w:t>
      </w:r>
      <w:r>
        <w:rPr>
          <w:rFonts w:hint="eastAsia"/>
          <w:sz w:val="32"/>
        </w:rPr>
        <w:t>灌云县临港产业区化工产业园现有片区西北方向，相距约3.5km。拟扩区域四至范围为：东至灌西大道，南至向阳大道（G228），西至海滨大道，北至连云港大道，规划面积24.36平方公里。</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300"/>
      </w:tblGrid>
      <w:tr w14:paraId="2176EED2">
        <w:trPr/>
        <w:tc>
          <w:tcPr>
            <w:tcW w:w="8516" w:type="dxa"/>
            <w:tcBorders/>
          </w:tcPr>
          <w:p w14:paraId="0F4D3F02">
            <w:pPr>
              <w:pStyle w:val="style4097"/>
              <w:rPr/>
            </w:pPr>
            <w:r>
              <w:rPr/>
              <w:drawing>
                <wp:inline distL="0" distT="0" distB="0" distR="0">
                  <wp:extent cx="5268595" cy="3703320"/>
                  <wp:effectExtent l="0" t="0" r="1905" b="5080"/>
                  <wp:docPr id="1026" name="图片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5"/>
                          <pic:cNvPicPr/>
                        </pic:nvPicPr>
                        <pic:blipFill>
                          <a:blip r:embed="rId10" cstate="print"/>
                          <a:srcRect l="0" t="0" r="0" b="0"/>
                          <a:stretch/>
                        </pic:blipFill>
                        <pic:spPr>
                          <a:xfrm rot="0">
                            <a:off x="0" y="0"/>
                            <a:ext cx="5268595" cy="3703320"/>
                          </a:xfrm>
                          <a:prstGeom prst="rect"/>
                          <a:ln>
                            <a:noFill/>
                          </a:ln>
                        </pic:spPr>
                      </pic:pic>
                    </a:graphicData>
                  </a:graphic>
                </wp:inline>
              </w:drawing>
            </w:r>
          </w:p>
        </w:tc>
      </w:tr>
      <w:tr w14:paraId="2E5871C2">
        <w:tblPrEx/>
        <w:trPr/>
        <w:tc>
          <w:tcPr>
            <w:tcW w:w="8516" w:type="dxa"/>
            <w:tcBorders/>
          </w:tcPr>
          <w:p w14:paraId="6AB49F84">
            <w:pPr>
              <w:pStyle w:val="style4097"/>
              <w:spacing w:lineRule="exact" w:line="440"/>
              <w:rPr/>
            </w:pPr>
            <w:r>
              <w:rPr>
                <w:rFonts w:hint="eastAsia"/>
                <w:b/>
                <w:bCs/>
                <w:sz w:val="32"/>
              </w:rPr>
              <w:t>图1 化工产业园现片区、拟扩区域及与连云港石化产业基地位置图</w:t>
            </w:r>
          </w:p>
        </w:tc>
      </w:tr>
      <w:tr w14:paraId="2BB01E59">
        <w:tblPrEx/>
        <w:trPr/>
        <w:tc>
          <w:tcPr>
            <w:tcW w:w="8516" w:type="dxa"/>
            <w:tcBorders/>
          </w:tcPr>
          <w:p w14:paraId="1210DB0C">
            <w:pPr>
              <w:pStyle w:val="style4097"/>
              <w:rPr/>
            </w:pPr>
            <w:r>
              <w:rPr/>
              <w:drawing>
                <wp:inline distL="0" distT="0" distB="0" distR="0">
                  <wp:extent cx="4782185" cy="3411220"/>
                  <wp:effectExtent l="0" t="0" r="5715" b="5080"/>
                  <wp:docPr id="1027" name="图片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3"/>
                          <pic:cNvPicPr/>
                        </pic:nvPicPr>
                        <pic:blipFill>
                          <a:blip r:embed="rId11" cstate="print"/>
                          <a:srcRect l="0" t="0" r="0" b="0"/>
                          <a:stretch/>
                        </pic:blipFill>
                        <pic:spPr>
                          <a:xfrm rot="0">
                            <a:off x="0" y="0"/>
                            <a:ext cx="4782185" cy="3411220"/>
                          </a:xfrm>
                          <a:prstGeom prst="rect"/>
                          <a:ln>
                            <a:noFill/>
                          </a:ln>
                        </pic:spPr>
                      </pic:pic>
                    </a:graphicData>
                  </a:graphic>
                </wp:inline>
              </w:drawing>
            </w:r>
          </w:p>
        </w:tc>
      </w:tr>
      <w:tr w14:paraId="089DD045">
        <w:tblPrEx/>
        <w:trPr/>
        <w:tc>
          <w:tcPr>
            <w:tcW w:w="8516" w:type="dxa"/>
            <w:tcBorders/>
          </w:tcPr>
          <w:p w14:paraId="1E88FEA5">
            <w:pPr>
              <w:pStyle w:val="style4097"/>
              <w:rPr/>
            </w:pPr>
            <w:r>
              <w:rPr/>
              <w:drawing>
                <wp:inline distL="0" distT="0" distB="0" distR="0">
                  <wp:extent cx="5266690" cy="3811270"/>
                  <wp:effectExtent l="0" t="0" r="3810" b="11430"/>
                  <wp:docPr id="1028"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2" cstate="print"/>
                          <a:srcRect l="0" t="0" r="0" b="0"/>
                          <a:stretch/>
                        </pic:blipFill>
                        <pic:spPr>
                          <a:xfrm rot="0">
                            <a:off x="0" y="0"/>
                            <a:ext cx="5266690" cy="3811270"/>
                          </a:xfrm>
                          <a:prstGeom prst="rect"/>
                          <a:ln>
                            <a:noFill/>
                          </a:ln>
                        </pic:spPr>
                      </pic:pic>
                    </a:graphicData>
                  </a:graphic>
                </wp:inline>
              </w:drawing>
            </w:r>
          </w:p>
        </w:tc>
      </w:tr>
      <w:tr w14:paraId="52D6AACA">
        <w:tblPrEx/>
        <w:trPr/>
        <w:tc>
          <w:tcPr>
            <w:tcW w:w="8516" w:type="dxa"/>
            <w:tcBorders/>
          </w:tcPr>
          <w:p w14:paraId="294B8FC1">
            <w:pPr>
              <w:pStyle w:val="style4097"/>
              <w:rPr/>
            </w:pPr>
            <w:r>
              <w:rPr>
                <w:rFonts w:hint="eastAsia"/>
                <w:b/>
                <w:bCs/>
                <w:sz w:val="32"/>
              </w:rPr>
              <w:t>图2 灌云县临港产业区化工产业园拟扩区域四至范围</w:t>
            </w:r>
          </w:p>
        </w:tc>
      </w:tr>
      <w:bookmarkStart w:id="10" w:name="_Toc4488"/>
      <w:bookmarkStart w:id="11" w:name="_Toc9949"/>
      <w:bookmarkStart w:id="12" w:name="_Toc5917"/>
      <w:bookmarkStart w:id="13" w:name="_Toc14658"/>
      <w:bookmarkStart w:id="14" w:name="_Toc23317"/>
    </w:tbl>
    <w:p w14:paraId="1062F2C2">
      <w:pPr>
        <w:pStyle w:val="style2"/>
        <w:spacing w:lineRule="exact" w:line="560"/>
        <w:rPr>
          <w:rFonts w:hint="default"/>
          <w:sz w:val="32"/>
        </w:rPr>
      </w:pPr>
      <w:r>
        <w:rPr>
          <w:sz w:val="32"/>
        </w:rPr>
        <w:t>1.4园区要素保障</w:t>
      </w:r>
      <w:bookmarkEnd w:id="10"/>
    </w:p>
    <w:p w14:paraId="3F07BB1E">
      <w:pPr>
        <w:pStyle w:val="style0"/>
        <w:spacing w:lineRule="exact" w:line="560"/>
        <w:ind w:firstLine="643"/>
        <w:rPr>
          <w:b/>
          <w:bCs/>
          <w:sz w:val="32"/>
        </w:rPr>
      </w:pPr>
      <w:r>
        <w:rPr>
          <w:rFonts w:hint="eastAsia"/>
          <w:b/>
          <w:bCs/>
          <w:sz w:val="32"/>
        </w:rPr>
        <w:t>1、土地资源保障</w:t>
      </w:r>
    </w:p>
    <w:p w14:paraId="26A2420B">
      <w:pPr>
        <w:pStyle w:val="style0"/>
        <w:spacing w:lineRule="exact" w:line="560"/>
        <w:ind w:firstLine="640"/>
        <w:rPr>
          <w:sz w:val="32"/>
        </w:rPr>
      </w:pPr>
      <w:r>
        <w:rPr>
          <w:rFonts w:cs="Times New Roman" w:hint="eastAsia"/>
          <w:sz w:val="32"/>
          <w:szCs w:val="28"/>
        </w:rPr>
        <w:t>化工产业园（扩区部分）</w:t>
      </w:r>
      <w:r>
        <w:rPr>
          <w:sz w:val="32"/>
        </w:rPr>
        <w:t>用地面积24.36平方公里，其中东部位于城镇开发边界内用地9</w:t>
      </w:r>
      <w:r>
        <w:rPr>
          <w:rFonts w:hint="eastAsia"/>
          <w:sz w:val="32"/>
        </w:rPr>
        <w:t>.</w:t>
      </w:r>
      <w:r>
        <w:rPr>
          <w:rFonts w:hint="eastAsia"/>
          <w:sz w:val="32"/>
          <w:lang w:val="en-US" w:eastAsia="zh-CN"/>
        </w:rPr>
        <w:t>34</w:t>
      </w:r>
      <w:r>
        <w:rPr>
          <w:sz w:val="32"/>
        </w:rPr>
        <w:t>平方公里，西部城镇开发边界外用地</w:t>
      </w:r>
      <w:r>
        <w:rPr>
          <w:rFonts w:hint="eastAsia"/>
          <w:sz w:val="32"/>
          <w:lang w:val="en-US" w:eastAsia="zh-CN"/>
        </w:rPr>
        <w:t>15.02</w:t>
      </w:r>
      <w:r>
        <w:rPr>
          <w:sz w:val="32"/>
        </w:rPr>
        <w:t>平方公里。园区地势平坦，目前尚未进行开发。用地类别方面，东部用地现状为工矿用地，符合规划要求；西部用地现状为坑塘水面和部分一般农田。园区范围内不涉及生态保护红线和基本农田。</w:t>
      </w:r>
    </w:p>
    <w:p w14:paraId="39CC7929">
      <w:pPr>
        <w:pStyle w:val="style0"/>
        <w:spacing w:lineRule="exact" w:line="560"/>
        <w:ind w:firstLine="640"/>
        <w:rPr>
          <w:sz w:val="32"/>
        </w:rPr>
      </w:pPr>
      <w:r>
        <w:rPr>
          <w:sz w:val="32"/>
        </w:rPr>
        <w:t>利用园区储备的土地资源为推进连云港石化产业基地进一步强链、补链、延链提供用地保障，根据产业发展需要合理划分用地空间。规划在近期（202</w:t>
      </w:r>
      <w:r>
        <w:rPr>
          <w:rFonts w:hint="eastAsia"/>
          <w:sz w:val="32"/>
          <w:lang w:val="en-US" w:eastAsia="zh-CN"/>
        </w:rPr>
        <w:t>5</w:t>
      </w:r>
      <w:r>
        <w:rPr>
          <w:sz w:val="32"/>
        </w:rPr>
        <w:t>-2028年）利用位于园区东部城镇开发边界内较为规整的土地发展化工新材料及</w:t>
      </w:r>
      <w:r>
        <w:rPr>
          <w:rFonts w:hint="eastAsia"/>
          <w:sz w:val="32"/>
        </w:rPr>
        <w:t>专用</w:t>
      </w:r>
      <w:r>
        <w:rPr>
          <w:sz w:val="32"/>
        </w:rPr>
        <w:t>精细化学品产业，主要利用连云港石化产业基地丰富的资源条件进行产业链延伸，实现资源在区域内的充分利用和发展，规划面积约</w:t>
      </w:r>
      <w:r>
        <w:rPr>
          <w:rFonts w:hint="eastAsia"/>
          <w:sz w:val="32"/>
        </w:rPr>
        <w:t>9.</w:t>
      </w:r>
      <w:r>
        <w:rPr>
          <w:rFonts w:hint="eastAsia"/>
          <w:sz w:val="32"/>
          <w:lang w:val="en-US" w:eastAsia="zh-CN"/>
        </w:rPr>
        <w:t>34</w:t>
      </w:r>
      <w:r>
        <w:rPr>
          <w:sz w:val="32"/>
        </w:rPr>
        <w:t>平方公里。规划在中远期（2029-2030年），将园区西南部位于城镇开发边界外用地性质进行调整，此片区紧邻连云港石化产业基地、方便物流联动和基础设施互相利用。根据产业规模，规划面积约10.</w:t>
      </w:r>
      <w:r>
        <w:rPr>
          <w:rFonts w:hint="eastAsia"/>
          <w:sz w:val="32"/>
        </w:rPr>
        <w:t>47</w:t>
      </w:r>
      <w:r>
        <w:rPr>
          <w:sz w:val="32"/>
        </w:rPr>
        <w:t>平方公里。此外，也将园区西北部位于城镇开发边界外用地性质进行调整，积极推动资源的高效及循环利用，打造面向“碳达峰、碳中和”要求的石化园区绿色低碳发展标杆，规划面积约4.</w:t>
      </w:r>
      <w:r>
        <w:rPr>
          <w:rFonts w:hint="eastAsia"/>
          <w:sz w:val="32"/>
          <w:lang w:val="en-US" w:eastAsia="zh-CN"/>
        </w:rPr>
        <w:t>55</w:t>
      </w:r>
      <w:r>
        <w:rPr>
          <w:sz w:val="32"/>
        </w:rPr>
        <w:t>平方公里。</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299"/>
      </w:tblGrid>
      <w:tr w14:paraId="61837AE1">
        <w:trPr/>
        <w:tc>
          <w:tcPr>
            <w:tcW w:w="8522" w:type="dxa"/>
            <w:tcBorders/>
          </w:tcPr>
          <w:p w14:paraId="7450F993">
            <w:pPr>
              <w:pStyle w:val="style4097"/>
              <w:rPr/>
            </w:pPr>
            <w:r>
              <w:rPr/>
              <w:drawing>
                <wp:inline distL="0" distT="0" distB="0" distR="0">
                  <wp:extent cx="5269230" cy="3840479"/>
                  <wp:effectExtent l="0" t="0" r="7620" b="7620"/>
                  <wp:docPr id="1029"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13" cstate="print"/>
                          <a:srcRect l="0" t="0" r="0" b="0"/>
                          <a:stretch/>
                        </pic:blipFill>
                        <pic:spPr>
                          <a:xfrm rot="0">
                            <a:off x="0" y="0"/>
                            <a:ext cx="5269230" cy="3840479"/>
                          </a:xfrm>
                          <a:prstGeom prst="rect"/>
                          <a:ln>
                            <a:noFill/>
                          </a:ln>
                        </pic:spPr>
                      </pic:pic>
                    </a:graphicData>
                  </a:graphic>
                </wp:inline>
              </w:drawing>
            </w:r>
          </w:p>
        </w:tc>
      </w:tr>
      <w:tr w14:paraId="0F614E17">
        <w:tblPrEx/>
        <w:trPr/>
        <w:tc>
          <w:tcPr>
            <w:tcW w:w="8522" w:type="dxa"/>
            <w:tcBorders/>
          </w:tcPr>
          <w:p w14:paraId="0C0DFAF5">
            <w:pPr>
              <w:pStyle w:val="style4097"/>
              <w:rPr/>
            </w:pPr>
            <w:r>
              <w:rPr>
                <w:rFonts w:hint="eastAsia"/>
                <w:b/>
                <w:bCs/>
                <w:sz w:val="32"/>
              </w:rPr>
              <w:t>图3 连云港市“三区三线”划定图</w:t>
            </w:r>
          </w:p>
        </w:tc>
      </w:tr>
    </w:tbl>
    <w:p w14:paraId="22FD8DF7">
      <w:pPr>
        <w:pStyle w:val="style0"/>
        <w:spacing w:lineRule="exact" w:line="560"/>
        <w:ind w:firstLine="643"/>
        <w:rPr>
          <w:sz w:val="32"/>
        </w:rPr>
      </w:pPr>
      <w:r>
        <w:rPr>
          <w:rFonts w:hint="eastAsia"/>
          <w:b/>
          <w:bCs/>
          <w:sz w:val="32"/>
        </w:rPr>
        <w:t>2、</w:t>
      </w:r>
      <w:r>
        <w:rPr>
          <w:b/>
          <w:bCs/>
          <w:sz w:val="32"/>
        </w:rPr>
        <w:t>水资源</w:t>
      </w:r>
      <w:r>
        <w:rPr>
          <w:rFonts w:hint="eastAsia"/>
          <w:b/>
          <w:bCs/>
          <w:sz w:val="32"/>
        </w:rPr>
        <w:t>保障</w:t>
      </w:r>
    </w:p>
    <w:p w14:paraId="743C0CC0">
      <w:pPr>
        <w:pStyle w:val="style0"/>
        <w:spacing w:lineRule="exact" w:line="560"/>
        <w:ind w:firstLine="640"/>
        <w:rPr>
          <w:sz w:val="32"/>
        </w:rPr>
      </w:pPr>
      <w:r>
        <w:rPr>
          <w:sz w:val="32"/>
        </w:rPr>
        <w:t>连云港石化产业基地用水水源主要为江淮水调引工程及海水淡化水。调水工程利用跨区调水为徐圩新区送水，实现2015年向徐圩新区送水规模为</w:t>
      </w:r>
      <w:r>
        <w:rPr>
          <w:rFonts w:hint="eastAsia"/>
          <w:sz w:val="32"/>
        </w:rPr>
        <w:t>86万</w:t>
      </w:r>
      <w:r>
        <w:rPr>
          <w:sz w:val="32"/>
        </w:rPr>
        <w:t>立方米/</w:t>
      </w:r>
      <w:r>
        <w:rPr>
          <w:rFonts w:hint="eastAsia"/>
          <w:sz w:val="32"/>
        </w:rPr>
        <w:t>日</w:t>
      </w:r>
      <w:r>
        <w:rPr>
          <w:sz w:val="32"/>
        </w:rPr>
        <w:t>，2030年向徐圩新区送水规模为1</w:t>
      </w:r>
      <w:r>
        <w:rPr>
          <w:rFonts w:hint="eastAsia"/>
          <w:sz w:val="32"/>
        </w:rPr>
        <w:t>30万</w:t>
      </w:r>
      <w:r>
        <w:rPr>
          <w:sz w:val="32"/>
        </w:rPr>
        <w:t>立方米/</w:t>
      </w:r>
      <w:r>
        <w:rPr>
          <w:rFonts w:hint="eastAsia"/>
          <w:sz w:val="32"/>
        </w:rPr>
        <w:t>日</w:t>
      </w:r>
      <w:r>
        <w:rPr>
          <w:sz w:val="32"/>
        </w:rPr>
        <w:t>；海水淡化水规划总规模35万立方米/日。经核算，预计2030年徐圩新区工业水供水余量约20万立方米/日，可作为园区的临时供水来源、提供补充用水。特别是考虑临港产业区周边区域海水取水条件较差的现实条件，可以依托石化产业基地海水淡化设施条件，为园区供应海水淡化水，提升非常规水资源利用水平。</w:t>
      </w:r>
    </w:p>
    <w:p w14:paraId="3EC221A7">
      <w:pPr>
        <w:pStyle w:val="style0"/>
        <w:spacing w:lineRule="exact" w:line="560"/>
        <w:ind w:firstLine="640"/>
        <w:rPr>
          <w:sz w:val="32"/>
        </w:rPr>
      </w:pPr>
      <w:r>
        <w:rPr>
          <w:sz w:val="32"/>
        </w:rPr>
        <w:t>灌云县临港产业区化工产业园现状水源为五灌河，是东门五图河、牛墩界圩河、车轴河三条河流汇合后的入海排水通道。化工产业园近期以五灌河为水源，远期通过善后河和车轴河调入通榆运河水源，并建设埒子口水库，能够保证化工产业园的水源稳定性。</w:t>
      </w:r>
    </w:p>
    <w:p w14:paraId="3891DFE8">
      <w:pPr>
        <w:pStyle w:val="style0"/>
        <w:spacing w:lineRule="exact" w:line="560"/>
        <w:ind w:firstLine="640"/>
        <w:rPr>
          <w:sz w:val="32"/>
        </w:rPr>
      </w:pPr>
      <w:r>
        <w:rPr>
          <w:sz w:val="32"/>
        </w:rPr>
        <w:t>本次规划区为</w:t>
      </w:r>
      <w:r>
        <w:rPr>
          <w:rFonts w:hint="eastAsia"/>
          <w:sz w:val="32"/>
        </w:rPr>
        <w:t>化工产业园（扩区部分）</w:t>
      </w:r>
      <w:r>
        <w:rPr>
          <w:sz w:val="32"/>
        </w:rPr>
        <w:t>，规划水源主要为五灌河；中远期利用临港产业区规划的工业水厂，规划总规模约20万立方米/日。</w:t>
      </w:r>
    </w:p>
    <w:p w14:paraId="4F4791C2">
      <w:pPr>
        <w:pStyle w:val="style0"/>
        <w:spacing w:lineRule="exact" w:line="560"/>
        <w:ind w:firstLine="640"/>
        <w:rPr>
          <w:sz w:val="32"/>
        </w:rPr>
      </w:pPr>
      <w:r>
        <w:rPr>
          <w:sz w:val="32"/>
        </w:rPr>
        <w:t>化工产业园及</w:t>
      </w:r>
      <w:r>
        <w:rPr>
          <w:rFonts w:hint="eastAsia"/>
          <w:sz w:val="32"/>
        </w:rPr>
        <w:t>化工产业园（扩区部分）</w:t>
      </w:r>
      <w:r>
        <w:rPr>
          <w:sz w:val="32"/>
        </w:rPr>
        <w:t>与石化产业基地水源供给情况大体相似，且具备地理位置相近的自然优势，因此，在水源供给上可以互为备用水源，在极端状态下实现“一基地两园区”的资源共享，为各基地/园区运行提供有力保障。</w:t>
      </w:r>
    </w:p>
    <w:p w14:paraId="07AFAE73">
      <w:pPr>
        <w:pStyle w:val="style0"/>
        <w:spacing w:lineRule="exact" w:line="560"/>
        <w:ind w:firstLine="640"/>
        <w:rPr>
          <w:sz w:val="32"/>
        </w:rPr>
      </w:pPr>
    </w:p>
    <w:p w14:paraId="79C425A0">
      <w:pPr>
        <w:pStyle w:val="style0"/>
        <w:spacing w:lineRule="exact" w:line="560"/>
        <w:ind w:firstLine="643"/>
        <w:rPr>
          <w:rFonts w:cs="Times New Roman"/>
          <w:b/>
          <w:bCs/>
          <w:sz w:val="32"/>
          <w:szCs w:val="28"/>
        </w:rPr>
      </w:pPr>
      <w:r>
        <w:rPr>
          <w:rFonts w:cs="Times New Roman" w:hint="eastAsia"/>
          <w:b/>
          <w:bCs/>
          <w:sz w:val="32"/>
          <w:szCs w:val="28"/>
        </w:rPr>
        <w:t>3、能源资源保障</w:t>
      </w:r>
    </w:p>
    <w:p w14:paraId="74E45FA3">
      <w:pPr>
        <w:pStyle w:val="style0"/>
        <w:spacing w:lineRule="exact" w:line="560"/>
        <w:ind w:firstLine="640"/>
        <w:rPr>
          <w:sz w:val="32"/>
        </w:rPr>
      </w:pPr>
      <w:r>
        <w:rPr>
          <w:rFonts w:hint="eastAsia"/>
          <w:sz w:val="32"/>
        </w:rPr>
        <w:t>灌云县临港产业区内供电系统完善，有220kV灌西变、35kV燕尾变、110kV燕港变变电所</w:t>
      </w:r>
      <w:r>
        <w:rPr>
          <w:sz w:val="32"/>
        </w:rPr>
        <w:t>3</w:t>
      </w:r>
      <w:r>
        <w:rPr>
          <w:rFonts w:hint="eastAsia"/>
          <w:sz w:val="32"/>
        </w:rPr>
        <w:t>座为园区企业供电，容量分别为1*180MKV、2*3.15MKV、2*63MKV，同时新建110kV临化变，可满足区域双电源供电能力要求。</w:t>
      </w:r>
      <w:r>
        <w:rPr>
          <w:sz w:val="32"/>
        </w:rPr>
        <w:t>根据</w:t>
      </w:r>
      <w:r>
        <w:rPr>
          <w:rFonts w:hint="eastAsia"/>
          <w:sz w:val="32"/>
        </w:rPr>
        <w:t>化工产业园（扩区部分）</w:t>
      </w:r>
      <w:r>
        <w:rPr>
          <w:sz w:val="32"/>
        </w:rPr>
        <w:t>内近期规划项目（202</w:t>
      </w:r>
      <w:r>
        <w:rPr>
          <w:rFonts w:hint="eastAsia"/>
          <w:sz w:val="32"/>
          <w:lang w:val="en-US" w:eastAsia="zh-CN"/>
        </w:rPr>
        <w:t>5</w:t>
      </w:r>
      <w:r>
        <w:rPr>
          <w:sz w:val="32"/>
        </w:rPr>
        <w:t>-2035年）建设，需在区内规划建设一座220kV变电站，规模暂定为2</w:t>
      </w:r>
      <w:r>
        <w:rPr>
          <w:rFonts w:hint="eastAsia"/>
          <w:sz w:val="32"/>
        </w:rPr>
        <w:t>×2</w:t>
      </w:r>
      <w:r>
        <w:rPr>
          <w:sz w:val="32"/>
        </w:rPr>
        <w:t>40MVA，同时建设三至四座110kV公用变电站，变电站容量为2~3台50MVA主变压器，建设形式为半户内方式，用地控制在1~2公顷/座。规划220kV变电站两回路220kV进线分别引自500kV徐圩变及盐都变。随着中远期炼化一体化项目的建设，需在区内规划建设两座220kV变电站，规模暂定为3</w:t>
      </w:r>
      <w:r>
        <w:rPr>
          <w:rFonts w:hint="eastAsia"/>
          <w:sz w:val="32"/>
        </w:rPr>
        <w:t>×</w:t>
      </w:r>
      <w:r>
        <w:rPr>
          <w:sz w:val="32"/>
        </w:rPr>
        <w:t>240MVA，同时建设9~10座</w:t>
      </w:r>
      <w:r>
        <w:rPr>
          <w:rFonts w:hint="eastAsia"/>
          <w:sz w:val="32"/>
        </w:rPr>
        <w:t>1</w:t>
      </w:r>
      <w:r>
        <w:rPr>
          <w:sz w:val="32"/>
        </w:rPr>
        <w:t>10kV公用/企业专用变电站。</w:t>
      </w:r>
    </w:p>
    <w:p w14:paraId="7835DB6F">
      <w:pPr>
        <w:pStyle w:val="style0"/>
        <w:spacing w:lineRule="exact" w:line="560"/>
        <w:ind w:firstLine="640"/>
        <w:rPr>
          <w:sz w:val="32"/>
        </w:rPr>
      </w:pPr>
      <w:r>
        <w:rPr>
          <w:rFonts w:hint="eastAsia"/>
          <w:sz w:val="32"/>
        </w:rPr>
        <w:t>园区内热源主要依托区外的华能热电厂，</w:t>
      </w:r>
      <w:r>
        <w:rPr>
          <w:rFonts w:hint="eastAsia"/>
          <w:sz w:val="32"/>
          <w:lang w:val="zh-CN"/>
        </w:rPr>
        <w:t>建设有</w:t>
      </w:r>
      <w:r>
        <w:rPr>
          <w:rFonts w:hint="eastAsia"/>
          <w:sz w:val="32"/>
        </w:rPr>
        <w:t>3×220t/h超高温高压燃煤锅炉和2×B25MW级背压式汽轮发电机组。</w:t>
      </w:r>
      <w:r>
        <w:rPr>
          <w:sz w:val="32"/>
        </w:rPr>
        <w:t>规划在</w:t>
      </w:r>
      <w:r>
        <w:rPr>
          <w:rFonts w:hint="eastAsia"/>
          <w:sz w:val="32"/>
        </w:rPr>
        <w:t>化工产业园（扩区部分）</w:t>
      </w:r>
      <w:r>
        <w:rPr>
          <w:sz w:val="32"/>
        </w:rPr>
        <w:t>内建设一座热电站，分期建设8台450吨/时高温高压锅炉及配套的背压式汽轮发电机组。园区作为连云港石化基地的拓展区，除了在产业链上实现上下游一体化外，在基础设施上也应尽可能实现共享。由于目前石化基地产业体量大，供热负荷紧张，石化基地规划建设清洁能源供热项目，为石化基地产业项目供应蒸汽</w:t>
      </w:r>
      <w:r>
        <w:rPr>
          <w:rFonts w:hint="eastAsia"/>
          <w:sz w:val="32"/>
        </w:rPr>
        <w:t>，</w:t>
      </w:r>
      <w:r>
        <w:rPr>
          <w:sz w:val="32"/>
        </w:rPr>
        <w:t>清洁能源供热项目建成后，石化基地将有较大供热余量。</w:t>
      </w:r>
      <w:r>
        <w:rPr>
          <w:rFonts w:hint="eastAsia"/>
          <w:sz w:val="32"/>
        </w:rPr>
        <w:t>化工产业园（扩区部分）</w:t>
      </w:r>
      <w:r>
        <w:rPr>
          <w:sz w:val="32"/>
        </w:rPr>
        <w:t>中远期开发建设过程中与连云港石化产业基地热网充分融合，实现联合供热</w:t>
      </w:r>
      <w:r>
        <w:rPr>
          <w:rFonts w:hint="eastAsia"/>
          <w:sz w:val="32"/>
        </w:rPr>
        <w:t>。</w:t>
      </w:r>
    </w:p>
    <w:p w14:paraId="45302ED4">
      <w:pPr>
        <w:pStyle w:val="style0"/>
        <w:spacing w:lineRule="exact" w:line="560"/>
        <w:ind w:firstLine="643"/>
        <w:rPr>
          <w:b/>
          <w:bCs/>
          <w:sz w:val="32"/>
        </w:rPr>
      </w:pPr>
      <w:r>
        <w:rPr>
          <w:rFonts w:hint="eastAsia"/>
          <w:b/>
          <w:bCs/>
          <w:sz w:val="32"/>
        </w:rPr>
        <w:t>4、交通运输能力保障</w:t>
      </w:r>
    </w:p>
    <w:p w14:paraId="64815E72">
      <w:pPr>
        <w:pStyle w:val="style0"/>
        <w:spacing w:lineRule="exact" w:line="560"/>
        <w:ind w:firstLine="640"/>
        <w:rPr>
          <w:sz w:val="32"/>
        </w:rPr>
      </w:pPr>
      <w:r>
        <w:rPr>
          <w:rFonts w:hint="eastAsia"/>
          <w:sz w:val="32"/>
        </w:rPr>
        <w:t>（1）公路运输</w:t>
      </w:r>
    </w:p>
    <w:p w14:paraId="521116AD">
      <w:pPr>
        <w:pStyle w:val="style0"/>
        <w:spacing w:lineRule="exact" w:line="560"/>
        <w:ind w:firstLine="640"/>
        <w:rPr>
          <w:sz w:val="32"/>
        </w:rPr>
      </w:pPr>
      <w:r>
        <w:rPr>
          <w:rFonts w:hint="eastAsia"/>
          <w:sz w:val="32"/>
        </w:rPr>
        <w:t>化工产业园（扩区部分）内现状无高速公路，距离沈海高速公路灌云东出入口约30公里。扩区部分主要通过国省干线公路实现对外联系，其中G228自扩区部分南部穿越，南至盐城、南通等沿海城市，北至连云港、山东等，是扩区部分南北向对外联系的主要通道；S324从扩区部分东部穿过，西至杨集镇接G204，是临港产业区东西向对外联系的主要通道；海滨大道环绕扩区部分，与G228衔接，是扩区部分内外衔接的重要道路。</w:t>
      </w:r>
    </w:p>
    <w:p w14:paraId="749FCDD3">
      <w:pPr>
        <w:pStyle w:val="style0"/>
        <w:spacing w:lineRule="exact" w:line="560"/>
        <w:ind w:firstLine="640"/>
        <w:rPr>
          <w:sz w:val="32"/>
        </w:rPr>
      </w:pPr>
      <w:r>
        <w:rPr>
          <w:rFonts w:hint="eastAsia"/>
          <w:sz w:val="32"/>
        </w:rPr>
        <w:t>（2）港口码头运输</w:t>
      </w:r>
    </w:p>
    <w:p w14:paraId="31A815D5">
      <w:pPr>
        <w:pStyle w:val="style0"/>
        <w:spacing w:lineRule="exact" w:line="560"/>
        <w:ind w:firstLine="640"/>
        <w:rPr>
          <w:sz w:val="32"/>
        </w:rPr>
      </w:pPr>
      <w:r>
        <w:rPr>
          <w:rFonts w:hint="eastAsia"/>
          <w:sz w:val="32"/>
        </w:rPr>
        <w:t>化工产业园（扩区部分）港口物流条件优越，可依托的港口有临港产业区的燕尾港港区和连云港石化产业基地的徐圩港区。</w:t>
      </w:r>
    </w:p>
    <w:p w14:paraId="185A61BA">
      <w:pPr>
        <w:pStyle w:val="style0"/>
        <w:spacing w:lineRule="exact" w:line="560"/>
        <w:ind w:firstLine="640"/>
        <w:rPr>
          <w:sz w:val="32"/>
        </w:rPr>
      </w:pPr>
      <w:r>
        <w:rPr>
          <w:rFonts w:hint="eastAsia"/>
          <w:sz w:val="32"/>
        </w:rPr>
        <w:t>燕尾港港区是连云港港“一体两翼”南翼组合港的重要作业区，位于灌河入海口西岸，具有天然的“海河联运”的优势，交通便捷，四通八达。对外可直达我国沿海及其他国家各港口，对内可通过灌河，经盐河、通榆河等内河航道与长江、京杭大运河相连，是苏北、皖北、鲁西南等地区最佳出海口之一。</w:t>
      </w:r>
    </w:p>
    <w:p w14:paraId="5E63CBC6">
      <w:pPr>
        <w:pStyle w:val="style0"/>
        <w:spacing w:lineRule="exact" w:line="560"/>
        <w:ind w:firstLine="640"/>
        <w:rPr>
          <w:sz w:val="32"/>
        </w:rPr>
      </w:pPr>
      <w:r>
        <w:rPr>
          <w:rFonts w:hint="eastAsia"/>
          <w:sz w:val="32"/>
        </w:rPr>
        <w:t>徐圩港区是国家东中西区域合作示范区先导区的重要组成部分，港区具备丰富的土地和港口岸线资源，码头、航道等基础设施初步完备。依托临港工业起步，逐步发展成为服务于腹地经济发展和后方临港工业综合性港区，以干散货、液体散货和散杂货为主，适度发展集装箱运输，为连云港市及周边、乃至中西部地区提供货物运输服务，规划吞吐能力1.6亿吨/年，集装箱吞吐能力达到150万TEU/年。</w:t>
      </w:r>
    </w:p>
    <w:p w14:paraId="358D5567">
      <w:pPr>
        <w:pStyle w:val="style0"/>
        <w:spacing w:lineRule="exact" w:line="560"/>
        <w:ind w:firstLine="640"/>
        <w:rPr>
          <w:sz w:val="32"/>
        </w:rPr>
      </w:pPr>
      <w:r>
        <w:rPr>
          <w:rFonts w:hint="eastAsia"/>
          <w:sz w:val="32"/>
        </w:rPr>
        <w:t>除此之外，化工产业园（扩区部分）临近灌河口，五灌河航道位于扩区部分东侧，现状等级为五级航道，沿线分布有码头，可以实现海河联运。</w:t>
      </w:r>
    </w:p>
    <w:p w14:paraId="0A122E88">
      <w:pPr>
        <w:pStyle w:val="style0"/>
        <w:spacing w:lineRule="exact" w:line="560"/>
        <w:ind w:firstLine="640"/>
        <w:rPr>
          <w:sz w:val="32"/>
        </w:rPr>
      </w:pPr>
      <w:r>
        <w:rPr>
          <w:rFonts w:hint="eastAsia"/>
          <w:sz w:val="32"/>
        </w:rPr>
        <w:t>（3）铁路运输</w:t>
      </w:r>
    </w:p>
    <w:p w14:paraId="768FD046">
      <w:pPr>
        <w:pStyle w:val="style0"/>
        <w:spacing w:lineRule="exact" w:line="560"/>
        <w:ind w:firstLine="640"/>
        <w:rPr>
          <w:sz w:val="32"/>
        </w:rPr>
      </w:pPr>
      <w:r>
        <w:rPr>
          <w:rFonts w:hint="eastAsia"/>
          <w:sz w:val="32"/>
        </w:rPr>
        <w:t>扩区部分内现状无铁路，但借助公路交通系统，处于连盐铁路灌云东站30分钟交通圈内，连淮扬镇铁路灌云站50分钟交通圈内。</w:t>
      </w:r>
    </w:p>
    <w:p w14:paraId="06360877">
      <w:pPr>
        <w:pStyle w:val="style0"/>
        <w:spacing w:lineRule="exact" w:line="560"/>
        <w:ind w:firstLine="640"/>
        <w:rPr>
          <w:sz w:val="32"/>
        </w:rPr>
      </w:pPr>
    </w:p>
    <w:p w14:paraId="61EF7A98">
      <w:pPr>
        <w:pStyle w:val="style0"/>
        <w:spacing w:lineRule="exact" w:line="560"/>
        <w:ind w:firstLine="640"/>
        <w:rPr>
          <w:sz w:val="32"/>
        </w:rPr>
      </w:pPr>
    </w:p>
    <w:bookmarkStart w:id="15" w:name="_Toc1118"/>
    <w:bookmarkStart w:id="16" w:name="_Toc14240"/>
    <w:bookmarkStart w:id="17" w:name="_Toc22545"/>
    <w:bookmarkEnd w:id="5"/>
    <w:bookmarkEnd w:id="11"/>
    <w:bookmarkEnd w:id="12"/>
    <w:bookmarkEnd w:id="13"/>
    <w:bookmarkEnd w:id="14"/>
    <w:p w14:paraId="3B3F105B">
      <w:pPr>
        <w:pStyle w:val="style0"/>
        <w:spacing w:lineRule="exact" w:line="560"/>
        <w:ind w:firstLine="640"/>
        <w:rPr>
          <w:sz w:val="32"/>
        </w:rPr>
      </w:pPr>
      <w:r>
        <w:rPr>
          <w:rFonts w:hint="eastAsia"/>
          <w:sz w:val="32"/>
        </w:rPr>
        <w:br w:type="page"/>
      </w:r>
    </w:p>
    <w:bookmarkStart w:id="18" w:name="_Toc11771"/>
    <w:p w14:paraId="7D63458D">
      <w:pPr>
        <w:pStyle w:val="style1"/>
        <w:spacing w:lineRule="exact" w:line="560"/>
        <w:rPr>
          <w:rFonts w:hint="default"/>
        </w:rPr>
      </w:pPr>
      <w:r>
        <w:t>二、扩区必要性</w:t>
      </w:r>
      <w:bookmarkEnd w:id="15"/>
      <w:bookmarkEnd w:id="16"/>
      <w:bookmarkEnd w:id="17"/>
      <w:bookmarkEnd w:id="18"/>
    </w:p>
    <w:bookmarkStart w:id="19" w:name="_Toc4236"/>
    <w:p w14:paraId="647031E6">
      <w:pPr>
        <w:pStyle w:val="style2"/>
        <w:spacing w:lineRule="exact" w:line="560"/>
        <w:rPr>
          <w:rFonts w:hint="default"/>
          <w:sz w:val="32"/>
        </w:rPr>
      </w:pPr>
      <w:r>
        <w:rPr>
          <w:sz w:val="32"/>
        </w:rPr>
        <w:t>2.1国家和省重大产业区域布局战略需要</w:t>
      </w:r>
      <w:bookmarkEnd w:id="19"/>
    </w:p>
    <w:p w14:paraId="3F37322D">
      <w:pPr>
        <w:pStyle w:val="style0"/>
        <w:spacing w:lineRule="exact" w:line="560"/>
        <w:ind w:firstLine="643"/>
        <w:rPr>
          <w:b/>
          <w:bCs/>
          <w:sz w:val="32"/>
        </w:rPr>
      </w:pPr>
      <w:r>
        <w:rPr>
          <w:rFonts w:hint="eastAsia"/>
          <w:b/>
          <w:bCs/>
          <w:sz w:val="32"/>
        </w:rPr>
        <w:t>——贯彻落实习总书记考察江苏重要讲话指示精神</w:t>
      </w:r>
    </w:p>
    <w:p w14:paraId="438CB839">
      <w:pPr>
        <w:pStyle w:val="style0"/>
        <w:spacing w:lineRule="exact" w:line="560"/>
        <w:ind w:firstLine="640"/>
        <w:rPr>
          <w:sz w:val="32"/>
        </w:rPr>
      </w:pPr>
      <w:r>
        <w:rPr>
          <w:sz w:val="32"/>
        </w:rPr>
        <w:t>2023年7月，习近平总书记在江苏考察时强调，要把坚守实体经</w:t>
      </w:r>
      <w:r>
        <w:rPr>
          <w:rFonts w:hint="eastAsia"/>
          <w:sz w:val="32"/>
        </w:rPr>
        <w:t>济、构建现代化产业体系作为强省之要，巩固传统产业领先地位，加快打造具有国际竞争力的战略性新兴产业集群，推动数字经济与先进制造业、现代服务业深度融合，全面提升产业基础高级化和产业链现代化水平，加快构建以先进制造业为骨干的现代化产业体系。</w:t>
      </w:r>
    </w:p>
    <w:p w14:paraId="08842E50">
      <w:pPr>
        <w:pStyle w:val="style0"/>
        <w:spacing w:lineRule="exact" w:line="560"/>
        <w:ind w:firstLine="640"/>
        <w:rPr>
          <w:sz w:val="32"/>
        </w:rPr>
      </w:pPr>
      <w:r>
        <w:rPr>
          <w:rFonts w:hint="eastAsia"/>
          <w:sz w:val="32"/>
        </w:rPr>
        <w:t>石化化工行业是江苏省传统优势产业，正在</w:t>
      </w:r>
      <w:r>
        <w:rPr>
          <w:sz w:val="32"/>
        </w:rPr>
        <w:t>从石化大省向石化强省迈进，优化提升临港石化产业布局，承接沿江石化产业升级转移，构建紧密联系的产业集群</w:t>
      </w:r>
      <w:r>
        <w:rPr>
          <w:rFonts w:hint="eastAsia"/>
          <w:sz w:val="32"/>
        </w:rPr>
        <w:t>的关键时期，通过连云港石化产业基地拓展区的持续开发建设，有助于</w:t>
      </w:r>
      <w:r>
        <w:rPr>
          <w:sz w:val="32"/>
        </w:rPr>
        <w:t>充分发挥区域内现有石化产业基础条件，实现资源、能源、物流、管理共享共生发展，</w:t>
      </w:r>
      <w:r>
        <w:rPr>
          <w:rFonts w:hint="eastAsia"/>
          <w:sz w:val="32"/>
        </w:rPr>
        <w:t>成为</w:t>
      </w:r>
      <w:r>
        <w:rPr>
          <w:sz w:val="32"/>
        </w:rPr>
        <w:t>推动高质量发展走在前列、加快建设“强富美高”新江苏的重要举措。</w:t>
      </w:r>
    </w:p>
    <w:p w14:paraId="51F1711A">
      <w:pPr>
        <w:pStyle w:val="style0"/>
        <w:spacing w:lineRule="exact" w:line="560"/>
        <w:ind w:firstLine="643"/>
        <w:rPr>
          <w:rFonts w:ascii="宋体" w:cs="Times New Roman" w:eastAsia="宋体" w:hAnsi="宋体" w:hint="eastAsia"/>
          <w:b/>
          <w:bCs/>
          <w:sz w:val="32"/>
          <w:szCs w:val="28"/>
        </w:rPr>
      </w:pPr>
      <w:r>
        <w:rPr>
          <w:rFonts w:hint="eastAsia"/>
          <w:b/>
          <w:bCs/>
          <w:sz w:val="32"/>
        </w:rPr>
        <w:t>——</w:t>
      </w:r>
      <w:r>
        <w:rPr>
          <w:b/>
          <w:bCs/>
          <w:sz w:val="32"/>
        </w:rPr>
        <w:t>贯彻国家战略，落实江苏沿海地区发展的战略部署</w:t>
      </w:r>
    </w:p>
    <w:p w14:paraId="368CDB92">
      <w:pPr>
        <w:pStyle w:val="style0"/>
        <w:spacing w:lineRule="exact" w:line="560"/>
        <w:ind w:firstLine="640"/>
        <w:rPr>
          <w:sz w:val="32"/>
        </w:rPr>
      </w:pPr>
      <w:r>
        <w:rPr>
          <w:rFonts w:hint="eastAsia"/>
          <w:sz w:val="32"/>
        </w:rPr>
        <w:t>加快江苏沿海地区发展是国家的重大战略部署，有利于提升长三角区域整体实力、更好服务构建新发展格局、完善海洋强国总体布局、推动东部沿海地区绿色低碳发展。</w:t>
      </w:r>
    </w:p>
    <w:p w14:paraId="54D043CF">
      <w:pPr>
        <w:pStyle w:val="style0"/>
        <w:spacing w:lineRule="exact" w:line="560"/>
        <w:ind w:firstLine="640"/>
        <w:rPr>
          <w:rFonts w:ascii="宋体" w:cs="Times New Roman" w:eastAsia="宋体" w:hAnsi="宋体" w:hint="eastAsia"/>
          <w:sz w:val="32"/>
          <w:szCs w:val="28"/>
        </w:rPr>
      </w:pPr>
      <w:r>
        <w:rPr>
          <w:sz w:val="32"/>
        </w:rPr>
        <w:t>长三角地区是我国石化产业最发达的地区之一，是我国石化产业的先进代表。区域石化产业一体化协同发展，对行业实现高质量发展具有重大意义。连云港作为长三角北翼石化产业发展的新增长极，</w:t>
      </w:r>
      <w:r>
        <w:rPr>
          <w:rFonts w:hint="eastAsia"/>
          <w:sz w:val="32"/>
        </w:rPr>
        <w:t>通过进一步拓展连云港石化产业的发展空间，发展绿色石化产业，连云港有条件、有能力也有责任和义务</w:t>
      </w:r>
      <w:r>
        <w:rPr>
          <w:sz w:val="32"/>
        </w:rPr>
        <w:t>承担起我国石化产业转型升级的重要任务，探索石化产业实现区域协同、互利共赢、融合发展的新模式，成为长三角石化产业一体化高质量发展的有力推动者和坚决执行者。</w:t>
      </w:r>
    </w:p>
    <w:p w14:paraId="54C638E2">
      <w:pPr>
        <w:pStyle w:val="style0"/>
        <w:spacing w:lineRule="exact" w:line="560"/>
        <w:ind w:firstLine="643"/>
        <w:rPr>
          <w:rFonts w:ascii="宋体" w:eastAsia="宋体" w:hAnsi="宋体" w:hint="eastAsia"/>
          <w:b/>
          <w:bCs/>
          <w:sz w:val="32"/>
          <w:szCs w:val="28"/>
        </w:rPr>
      </w:pPr>
      <w:r>
        <w:rPr>
          <w:rFonts w:hint="eastAsia"/>
          <w:b/>
          <w:bCs/>
          <w:sz w:val="32"/>
        </w:rPr>
        <w:t>——落实省委省政府要求，</w:t>
      </w:r>
      <w:r>
        <w:rPr>
          <w:b/>
          <w:bCs/>
          <w:sz w:val="32"/>
        </w:rPr>
        <w:t>推进江苏石化产业高质量发展</w:t>
      </w:r>
    </w:p>
    <w:p w14:paraId="53812A64">
      <w:pPr>
        <w:pStyle w:val="style0"/>
        <w:spacing w:lineRule="exact" w:line="560"/>
        <w:ind w:firstLine="640"/>
        <w:rPr>
          <w:sz w:val="32"/>
        </w:rPr>
      </w:pPr>
      <w:r>
        <w:rPr>
          <w:rFonts w:hint="eastAsia"/>
          <w:sz w:val="32"/>
        </w:rPr>
        <w:t>江苏省石化产业经过近年来的整治提升，目前已进入转型升级实现高质量发展的关键时期。随着长江经济带生态保护的推进，江苏省石化产业布局的重点是从沿江向沿海转移，构建出“1+N”化工产业高质量发展格局。省委省政府要求徐圩新区要培育壮大优势产业集群，着力打造世界一流石化产业基地。</w:t>
      </w:r>
    </w:p>
    <w:p w14:paraId="1D441493">
      <w:pPr>
        <w:pStyle w:val="style0"/>
        <w:spacing w:lineRule="exact" w:line="560"/>
        <w:ind w:firstLine="640"/>
        <w:rPr>
          <w:rFonts w:ascii="宋体" w:cs="Times New Roman" w:eastAsia="宋体" w:hAnsi="宋体" w:hint="eastAsia"/>
          <w:sz w:val="32"/>
          <w:szCs w:val="28"/>
        </w:rPr>
      </w:pPr>
      <w:r>
        <w:rPr>
          <w:rFonts w:hint="eastAsia"/>
          <w:sz w:val="32"/>
        </w:rPr>
        <w:t>徐圩新区作为国家重点发展的大型石化产业基地，成为江苏化工产业增长主引擎和主阵地，承载着重要的历史使命。未来需要围绕着连云港石化产业基地的基础优势，进一步强化石化产业基地进行拓展延伸，可以更好地发挥连云港石化产业的整体优势，承接沿江高端石化产业转移，发展上下游一体化的绿色石化产业体系，推进江苏石化产业布局优化、转型升级和高质量发展。</w:t>
      </w:r>
    </w:p>
    <w:p w14:paraId="57D60180">
      <w:pPr>
        <w:pStyle w:val="style0"/>
        <w:spacing w:lineRule="exact" w:line="560"/>
        <w:ind w:firstLine="643"/>
        <w:rPr>
          <w:rFonts w:ascii="宋体" w:cs="Times New Roman" w:eastAsia="宋体" w:hAnsi="宋体" w:hint="eastAsia"/>
          <w:b/>
          <w:bCs/>
          <w:sz w:val="32"/>
          <w:szCs w:val="28"/>
        </w:rPr>
      </w:pPr>
      <w:r>
        <w:rPr>
          <w:rFonts w:hint="eastAsia"/>
          <w:b/>
          <w:bCs/>
          <w:sz w:val="32"/>
        </w:rPr>
        <w:t>——落实市委专题会议精神，助力打造万亿级产业集群</w:t>
      </w:r>
    </w:p>
    <w:p w14:paraId="48046AE2">
      <w:pPr>
        <w:pStyle w:val="style0"/>
        <w:spacing w:lineRule="exact" w:line="560"/>
        <w:ind w:firstLine="640"/>
        <w:rPr>
          <w:sz w:val="32"/>
        </w:rPr>
      </w:pPr>
      <w:r>
        <w:rPr>
          <w:sz w:val="32"/>
        </w:rPr>
        <w:t>连云港正在加快打造世界一流万亿级石化产业集群</w:t>
      </w:r>
      <w:r>
        <w:rPr>
          <w:rFonts w:hint="eastAsia"/>
          <w:sz w:val="32"/>
        </w:rPr>
        <w:t>，</w:t>
      </w:r>
      <w:r>
        <w:rPr>
          <w:sz w:val="32"/>
        </w:rPr>
        <w:t>以连云港石化产业基地为核心，以盛虹石化、卫星化学、中化国际为龙头，相关拓展区域协同支撑，引进了一批技术含量高的重大石化产业项目，延伸发展石化产业链下游和价值链高端产业</w:t>
      </w:r>
      <w:r>
        <w:rPr>
          <w:rFonts w:hint="eastAsia"/>
          <w:sz w:val="32"/>
        </w:rPr>
        <w:t>，</w:t>
      </w:r>
      <w:r>
        <w:rPr>
          <w:sz w:val="32"/>
        </w:rPr>
        <w:t>构建参与国际合作和竞争新优势。</w:t>
      </w:r>
    </w:p>
    <w:p w14:paraId="6C8542B4">
      <w:pPr>
        <w:pStyle w:val="style0"/>
        <w:spacing w:lineRule="exact" w:line="560"/>
        <w:ind w:firstLine="640"/>
        <w:rPr>
          <w:sz w:val="32"/>
        </w:rPr>
      </w:pPr>
      <w:r>
        <w:rPr>
          <w:rFonts w:hint="eastAsia"/>
          <w:sz w:val="32"/>
        </w:rPr>
        <w:t>随着产业基地项目建设和发展，石化产业基地承载空间非常有限，徐圩新区现有土地资源无法承担万亿石化产业集群</w:t>
      </w:r>
      <w:r>
        <w:rPr>
          <w:sz w:val="32"/>
        </w:rPr>
        <w:t>，解决新项目空间迫在眉睫。</w:t>
      </w:r>
      <w:r>
        <w:rPr>
          <w:rFonts w:hint="eastAsia"/>
          <w:sz w:val="32"/>
        </w:rPr>
        <w:t>为打造世界一流石化基地，实现万亿级石化产业集群目标，加速推动徐圩新区与一河之隔的拓展区融合协同发展，按照统一标准进行规划建设，可以在产业、物流、基础设施等方面深入融合，加快连云港石化产业的集聚发展、统筹发展，构建出联动发展产业新格局时不我待。</w:t>
      </w:r>
    </w:p>
    <w:bookmarkStart w:id="20" w:name="_Toc24205"/>
    <w:p w14:paraId="4F5CF517">
      <w:pPr>
        <w:pStyle w:val="style2"/>
        <w:spacing w:lineRule="exact" w:line="560"/>
        <w:rPr>
          <w:rFonts w:hint="default"/>
          <w:sz w:val="32"/>
        </w:rPr>
      </w:pPr>
      <w:r>
        <w:rPr>
          <w:sz w:val="32"/>
        </w:rPr>
        <w:t>2.2重大项目承载需要</w:t>
      </w:r>
      <w:bookmarkEnd w:id="20"/>
    </w:p>
    <w:p w14:paraId="19922CE7">
      <w:pPr>
        <w:pStyle w:val="style0"/>
        <w:spacing w:lineRule="exact" w:line="560"/>
        <w:ind w:firstLine="640"/>
        <w:rPr>
          <w:rFonts w:ascii="Times New Roman" w:hAnsi="Times New Roman" w:hint="eastAsia"/>
          <w:sz w:val="32"/>
        </w:rPr>
      </w:pPr>
      <w:r>
        <w:rPr>
          <w:rFonts w:ascii="Times New Roman" w:hAnsi="Times New Roman" w:hint="eastAsia"/>
          <w:sz w:val="32"/>
        </w:rPr>
        <w:t>灌云县临港产业区化工产业园规划用地总面积10.8平方公里，计划拆除退出125家安全环保不达标化工企业，累计腾退土地约6.7平方公里，同时陆续引进了嘉澳新能源、连云港碱厂等产业项目，目前可用约3.3平方公里，且地块分散，园区可利用的土地资源有限，继续承载大型石化项目能力不强。</w:t>
      </w:r>
    </w:p>
    <w:p w14:paraId="3289AEDF">
      <w:pPr>
        <w:pStyle w:val="style0"/>
        <w:spacing w:lineRule="exact" w:line="560"/>
        <w:ind w:firstLine="640"/>
        <w:rPr>
          <w:sz w:val="32"/>
        </w:rPr>
      </w:pPr>
    </w:p>
    <w:p w14:paraId="17D16B85">
      <w:pPr>
        <w:pStyle w:val="style0"/>
        <w:spacing w:lineRule="exact" w:line="560"/>
        <w:ind w:firstLine="640"/>
        <w:rPr>
          <w:sz w:val="32"/>
        </w:rPr>
      </w:pPr>
    </w:p>
    <w:p w14:paraId="58167960">
      <w:pPr>
        <w:pStyle w:val="style0"/>
        <w:spacing w:lineRule="exact" w:line="560"/>
        <w:ind w:firstLine="0" w:firstLineChars="0"/>
        <w:rPr>
          <w:rFonts w:cs="Times New Roman"/>
          <w:sz w:val="32"/>
          <w:szCs w:val="28"/>
        </w:rPr>
      </w:pPr>
      <w:r>
        <w:rPr>
          <w:rFonts w:cs="Times New Roman"/>
          <w:sz w:val="32"/>
          <w:szCs w:val="28"/>
        </w:rPr>
        <w:br w:type="page"/>
      </w:r>
    </w:p>
    <w:bookmarkStart w:id="21" w:name="_Toc31512"/>
    <w:bookmarkStart w:id="22" w:name="_Toc22049"/>
    <w:bookmarkStart w:id="23" w:name="_Toc2346"/>
    <w:p w14:paraId="713B2A38">
      <w:pPr>
        <w:pStyle w:val="style1"/>
        <w:numPr>
          <w:ilvl w:val="0"/>
          <w:numId w:val="3"/>
        </w:numPr>
        <w:spacing w:lineRule="exact" w:line="560"/>
        <w:rPr>
          <w:rFonts w:hint="default"/>
        </w:rPr>
      </w:pPr>
      <w:r>
        <w:t>园区规划</w:t>
      </w:r>
      <w:bookmarkEnd w:id="21"/>
    </w:p>
    <w:bookmarkStart w:id="24" w:name="_Toc6847"/>
    <w:p w14:paraId="05CF9817">
      <w:pPr>
        <w:pStyle w:val="style2"/>
        <w:spacing w:lineRule="exact" w:line="560"/>
        <w:rPr>
          <w:rFonts w:hint="default"/>
          <w:sz w:val="32"/>
        </w:rPr>
      </w:pPr>
      <w:r>
        <w:rPr>
          <w:sz w:val="32"/>
        </w:rPr>
        <w:t>3.1总体规划思路</w:t>
      </w:r>
      <w:bookmarkEnd w:id="24"/>
    </w:p>
    <w:bookmarkStart w:id="25" w:name="_Toc291"/>
    <w:bookmarkStart w:id="26" w:name="_Toc28055"/>
    <w:bookmarkStart w:id="27" w:name="_Toc31662"/>
    <w:p w14:paraId="080A53A5">
      <w:pPr>
        <w:pStyle w:val="style3"/>
        <w:spacing w:lineRule="exact" w:line="560"/>
        <w:rPr>
          <w:sz w:val="32"/>
        </w:rPr>
      </w:pPr>
      <w:r>
        <w:rPr>
          <w:sz w:val="32"/>
        </w:rPr>
        <w:t>3.1</w:t>
      </w:r>
      <w:r>
        <w:rPr>
          <w:rFonts w:hint="eastAsia"/>
          <w:sz w:val="32"/>
        </w:rPr>
        <w:t>.1</w:t>
      </w:r>
      <w:r>
        <w:rPr>
          <w:sz w:val="32"/>
        </w:rPr>
        <w:t>规划范围</w:t>
      </w:r>
      <w:bookmarkEnd w:id="25"/>
    </w:p>
    <w:p w14:paraId="0F3797A4">
      <w:pPr>
        <w:pStyle w:val="style0"/>
        <w:spacing w:lineRule="exact" w:line="560"/>
        <w:ind w:firstLine="640"/>
        <w:rPr>
          <w:sz w:val="32"/>
        </w:rPr>
      </w:pPr>
      <w:r>
        <w:rPr>
          <w:rFonts w:hint="eastAsia"/>
          <w:sz w:val="32"/>
        </w:rPr>
        <w:t>扩区后，</w:t>
      </w:r>
      <w:r>
        <w:rPr>
          <w:sz w:val="32"/>
        </w:rPr>
        <w:t>灌云县临港产业区化工产业园</w:t>
      </w:r>
      <w:r>
        <w:rPr>
          <w:rFonts w:hint="eastAsia"/>
          <w:sz w:val="32"/>
        </w:rPr>
        <w:t>包括两个片区，东片区为现有区域，西片区为拟扩区区域。</w:t>
      </w:r>
    </w:p>
    <w:bookmarkEnd w:id="26"/>
    <w:bookmarkEnd w:id="27"/>
    <w:p w14:paraId="174B8BB9">
      <w:pPr>
        <w:pStyle w:val="style0"/>
        <w:spacing w:lineRule="exact" w:line="560"/>
        <w:ind w:firstLine="640"/>
        <w:rPr>
          <w:rFonts w:hint="eastAsia"/>
          <w:sz w:val="32"/>
        </w:rPr>
      </w:pPr>
      <w:r>
        <w:rPr>
          <w:rFonts w:hint="eastAsia"/>
          <w:sz w:val="32"/>
        </w:rPr>
        <w:t>规划</w:t>
      </w:r>
      <w:r>
        <w:rPr>
          <w:sz w:val="32"/>
        </w:rPr>
        <w:t>24.36平方公里的灌云县临港产业区化工产业园</w:t>
      </w:r>
      <w:r>
        <w:rPr>
          <w:rFonts w:hint="eastAsia"/>
          <w:sz w:val="32"/>
        </w:rPr>
        <w:t>（扩区部分）</w:t>
      </w:r>
      <w:r>
        <w:rPr>
          <w:sz w:val="32"/>
        </w:rPr>
        <w:t>距离灌云县临港产业区化工产业园约3.5km</w:t>
      </w:r>
      <w:r>
        <w:rPr>
          <w:rFonts w:hint="eastAsia"/>
          <w:sz w:val="32"/>
        </w:rPr>
        <w:t>，其中先行启动区为城镇开发边界内9.</w:t>
      </w:r>
      <w:r>
        <w:rPr>
          <w:rFonts w:hint="eastAsia"/>
          <w:sz w:val="32"/>
          <w:lang w:val="en-US" w:eastAsia="zh-CN"/>
        </w:rPr>
        <w:t>34</w:t>
      </w:r>
      <w:r>
        <w:rPr>
          <w:rFonts w:hint="eastAsia"/>
          <w:sz w:val="32"/>
        </w:rPr>
        <w:t>km</w:t>
      </w:r>
      <w:r>
        <w:rPr>
          <w:rFonts w:hint="eastAsia"/>
          <w:sz w:val="32"/>
          <w:vertAlign w:val="superscript"/>
        </w:rPr>
        <w:t>2</w:t>
      </w:r>
      <w:r>
        <w:rPr>
          <w:rFonts w:hint="eastAsia"/>
          <w:sz w:val="32"/>
        </w:rPr>
        <w:t>。</w:t>
      </w:r>
    </w:p>
    <w:p w14:paraId="29B3DD30">
      <w:pPr>
        <w:pStyle w:val="style0"/>
        <w:spacing w:lineRule="exact" w:line="560"/>
        <w:ind w:firstLine="640"/>
        <w:rPr>
          <w:sz w:val="32"/>
        </w:rPr>
      </w:pPr>
      <w:r>
        <w:rPr>
          <w:rFonts w:hint="eastAsia"/>
          <w:sz w:val="32"/>
        </w:rPr>
        <w:t>化工产业园（扩区部分）</w:t>
      </w:r>
      <w:r>
        <w:rPr>
          <w:sz w:val="32"/>
        </w:rPr>
        <w:t>四至范围为：</w:t>
      </w:r>
      <w:r>
        <w:rPr>
          <w:rFonts w:hint="eastAsia"/>
          <w:sz w:val="32"/>
        </w:rPr>
        <w:t>东至灌西大道，南至向阳大道（G228），西至海滨大道，北至连云港大道</w:t>
      </w:r>
      <w:r>
        <w:rPr>
          <w:sz w:val="32"/>
        </w:rPr>
        <w:t>。</w:t>
      </w:r>
    </w:p>
    <w:p w14:paraId="138333E3">
      <w:pPr>
        <w:pStyle w:val="style0"/>
        <w:spacing w:lineRule="exact" w:line="560"/>
        <w:ind w:firstLine="640"/>
        <w:rPr>
          <w:rFonts w:eastAsia="仿宋_GB2312" w:hint="default"/>
          <w:sz w:val="32"/>
          <w:lang w:val="en-US" w:eastAsia="zh-CN"/>
        </w:rPr>
      </w:pPr>
      <w:r>
        <w:rPr>
          <w:rFonts w:hint="eastAsia"/>
          <w:sz w:val="32"/>
          <w:lang w:val="en-US" w:eastAsia="zh-CN"/>
        </w:rPr>
        <w:t>先行启动区四至范围：东至灌西大道，南至向阳大道，西至规一路和西宁路，北至连云港大道。</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300"/>
      </w:tblGrid>
      <w:tr w14:paraId="514FB3EB">
        <w:trPr/>
        <w:tc>
          <w:tcPr>
            <w:tcW w:w="8522" w:type="dxa"/>
            <w:tcBorders/>
          </w:tcPr>
          <w:p w14:paraId="74393268">
            <w:pPr>
              <w:pStyle w:val="style4097"/>
              <w:rPr/>
            </w:pPr>
            <w:r>
              <w:rPr/>
              <w:drawing>
                <wp:inline distL="0" distT="0" distB="0" distR="0">
                  <wp:extent cx="4896485" cy="3493134"/>
                  <wp:effectExtent l="0" t="0" r="5715" b="12065"/>
                  <wp:docPr id="1030" name="图片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14" cstate="print"/>
                          <a:srcRect l="0" t="0" r="0" b="0"/>
                          <a:stretch/>
                        </pic:blipFill>
                        <pic:spPr>
                          <a:xfrm rot="0">
                            <a:off x="0" y="0"/>
                            <a:ext cx="4896485" cy="3493134"/>
                          </a:xfrm>
                          <a:prstGeom prst="rect"/>
                          <a:ln>
                            <a:noFill/>
                          </a:ln>
                        </pic:spPr>
                      </pic:pic>
                    </a:graphicData>
                  </a:graphic>
                </wp:inline>
              </w:drawing>
            </w:r>
          </w:p>
        </w:tc>
      </w:tr>
      <w:tr w14:paraId="5CF07D14">
        <w:tblPrEx/>
        <w:trPr/>
        <w:tc>
          <w:tcPr>
            <w:tcW w:w="8522" w:type="dxa"/>
            <w:tcBorders/>
          </w:tcPr>
          <w:p w14:paraId="79B62D30">
            <w:pPr>
              <w:pStyle w:val="style4097"/>
              <w:rPr/>
            </w:pPr>
            <w:r>
              <w:rPr>
                <w:rFonts w:hint="eastAsia"/>
                <w:b/>
                <w:bCs/>
                <w:sz w:val="32"/>
              </w:rPr>
              <w:t>图3-1 灌云县临港产业区化工产业园（扩区部分）四至范围</w:t>
            </w:r>
          </w:p>
        </w:tc>
      </w:tr>
      <w:bookmarkStart w:id="28" w:name="_Toc20061"/>
    </w:tbl>
    <w:p w14:paraId="10FB3ED0">
      <w:pPr>
        <w:pStyle w:val="style3"/>
        <w:spacing w:lineRule="exact" w:line="560"/>
        <w:rPr>
          <w:sz w:val="32"/>
        </w:rPr>
      </w:pPr>
      <w:r>
        <w:rPr>
          <w:rFonts w:hint="eastAsia"/>
          <w:sz w:val="32"/>
        </w:rPr>
        <w:t>3.1.2</w:t>
      </w:r>
      <w:r>
        <w:rPr>
          <w:sz w:val="32"/>
        </w:rPr>
        <w:t>规划空间布局</w:t>
      </w:r>
      <w:bookmarkEnd w:id="28"/>
    </w:p>
    <w:p w14:paraId="11A55D2D">
      <w:pPr>
        <w:pStyle w:val="style0"/>
        <w:spacing w:lineRule="exact" w:line="560"/>
        <w:ind w:firstLine="640"/>
        <w:rPr>
          <w:sz w:val="32"/>
        </w:rPr>
      </w:pPr>
      <w:r>
        <w:rPr>
          <w:rFonts w:hint="eastAsia"/>
          <w:sz w:val="32"/>
        </w:rPr>
        <w:t>拟扩区区域拟构建</w:t>
      </w:r>
      <w:r>
        <w:rPr>
          <w:sz w:val="32"/>
        </w:rPr>
        <w:t>“</w:t>
      </w:r>
      <w:r>
        <w:rPr>
          <w:rFonts w:hint="eastAsia"/>
          <w:sz w:val="32"/>
        </w:rPr>
        <w:t>一廊、两轴、三区、多点</w:t>
      </w:r>
      <w:r>
        <w:rPr>
          <w:sz w:val="32"/>
        </w:rPr>
        <w:t>”</w:t>
      </w:r>
      <w:r>
        <w:rPr>
          <w:rFonts w:hint="eastAsia"/>
          <w:sz w:val="32"/>
        </w:rPr>
        <w:t>的空间结构：</w:t>
      </w:r>
    </w:p>
    <w:p w14:paraId="0FF42FE3">
      <w:pPr>
        <w:pStyle w:val="style0"/>
        <w:spacing w:lineRule="exact" w:line="560"/>
        <w:ind w:firstLine="640"/>
        <w:rPr>
          <w:sz w:val="32"/>
        </w:rPr>
      </w:pPr>
      <w:r>
        <w:rPr>
          <w:sz w:val="32"/>
        </w:rPr>
        <w:t>“一廊”即依托海滨大道形成的园区与泊古善后河之间的生态廊道。</w:t>
      </w:r>
    </w:p>
    <w:p w14:paraId="25DDD535">
      <w:pPr>
        <w:pStyle w:val="style0"/>
        <w:spacing w:lineRule="exact" w:line="560"/>
        <w:ind w:firstLine="640"/>
        <w:rPr>
          <w:sz w:val="32"/>
        </w:rPr>
      </w:pPr>
      <w:r>
        <w:rPr>
          <w:sz w:val="32"/>
        </w:rPr>
        <w:t>“两轴”即依托G228和纬五路打造两条产业联动轴，与连云港石化产业基地、临港产业区化工园区形成产业联动。</w:t>
      </w:r>
    </w:p>
    <w:p w14:paraId="4A491F81">
      <w:pPr>
        <w:pStyle w:val="style0"/>
        <w:spacing w:lineRule="exact" w:line="560"/>
        <w:ind w:firstLine="640"/>
        <w:rPr>
          <w:sz w:val="32"/>
        </w:rPr>
      </w:pPr>
      <w:r>
        <w:rPr>
          <w:sz w:val="32"/>
        </w:rPr>
        <w:t>“三区”即产业功能分区，包括</w:t>
      </w:r>
      <w:r>
        <w:rPr>
          <w:rFonts w:hint="eastAsia"/>
          <w:sz w:val="32"/>
        </w:rPr>
        <w:t>化工新材料和专用精细化学品产业</w:t>
      </w:r>
      <w:r>
        <w:rPr>
          <w:sz w:val="32"/>
        </w:rPr>
        <w:t>区、绿色低碳产业区及炼化一体化产业区，各片区内部以用地有效集聚为原则，保持内部小组团的完整，利于开发的弹性和可持续性。</w:t>
      </w:r>
    </w:p>
    <w:p w14:paraId="724A7C1D">
      <w:pPr>
        <w:pStyle w:val="style0"/>
        <w:spacing w:lineRule="exact" w:line="560"/>
        <w:ind w:firstLine="640"/>
        <w:rPr>
          <w:sz w:val="32"/>
        </w:rPr>
      </w:pPr>
      <w:r>
        <w:rPr>
          <w:sz w:val="32"/>
        </w:rPr>
        <w:t>“多点”即“一体化”配套服务的公用工程及辅助设施。包括污水处理、热电中心、变电站、消防站等。</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300"/>
      </w:tblGrid>
      <w:tr w14:paraId="41C13614">
        <w:trPr/>
        <w:tc>
          <w:tcPr>
            <w:tcW w:w="8516" w:type="dxa"/>
            <w:tcBorders/>
          </w:tcPr>
          <w:p w14:paraId="2E886616">
            <w:pPr>
              <w:pStyle w:val="style4097"/>
              <w:rPr/>
            </w:pPr>
            <w:r>
              <w:rPr/>
              <w:drawing>
                <wp:inline distL="0" distT="0" distB="0" distR="0">
                  <wp:extent cx="5262245" cy="3383915"/>
                  <wp:effectExtent l="0" t="0" r="14605" b="6985"/>
                  <wp:docPr id="1031"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a:blip r:embed="rId15" cstate="print"/>
                          <a:srcRect l="0" t="0" r="0" b="8048"/>
                          <a:stretch/>
                        </pic:blipFill>
                        <pic:spPr>
                          <a:xfrm rot="0">
                            <a:off x="0" y="0"/>
                            <a:ext cx="5262245" cy="3383915"/>
                          </a:xfrm>
                          <a:prstGeom prst="rect"/>
                          <a:ln>
                            <a:noFill/>
                          </a:ln>
                        </pic:spPr>
                      </pic:pic>
                    </a:graphicData>
                  </a:graphic>
                </wp:inline>
              </w:drawing>
            </w:r>
          </w:p>
        </w:tc>
      </w:tr>
      <w:tr w14:paraId="5AF5E8D5">
        <w:tblPrEx/>
        <w:trPr>
          <w:trHeight w:val="541" w:hRule="atLeast"/>
        </w:trPr>
        <w:tc>
          <w:tcPr>
            <w:tcW w:w="8516" w:type="dxa"/>
            <w:tcBorders/>
          </w:tcPr>
          <w:p w14:paraId="2C44802C">
            <w:pPr>
              <w:pStyle w:val="style4097"/>
              <w:spacing w:lineRule="exact" w:line="440"/>
              <w:rPr/>
            </w:pPr>
            <w:r>
              <w:rPr>
                <w:rFonts w:hint="eastAsia"/>
                <w:b/>
                <w:bCs/>
                <w:sz w:val="32"/>
              </w:rPr>
              <w:t>图3-2 灌云县临港产业区化工产业园（扩区部分）总体布局规划图</w:t>
            </w:r>
          </w:p>
        </w:tc>
      </w:tr>
      <w:bookmarkStart w:id="29" w:name="_Toc13361"/>
    </w:tbl>
    <w:p w14:paraId="26F20CD8">
      <w:pPr>
        <w:pStyle w:val="style2"/>
        <w:spacing w:lineRule="exact" w:line="560"/>
        <w:rPr>
          <w:rFonts w:hint="default"/>
          <w:sz w:val="32"/>
        </w:rPr>
      </w:pPr>
      <w:r>
        <w:rPr>
          <w:sz w:val="32"/>
        </w:rPr>
        <w:t>3.2产业发展规划思路</w:t>
      </w:r>
      <w:bookmarkEnd w:id="22"/>
      <w:bookmarkEnd w:id="23"/>
      <w:bookmarkEnd w:id="29"/>
    </w:p>
    <w:bookmarkStart w:id="30" w:name="_Toc28184"/>
    <w:bookmarkStart w:id="31" w:name="_Toc9674"/>
    <w:bookmarkStart w:id="32" w:name="_Toc15992"/>
    <w:bookmarkStart w:id="33" w:name="_Toc31539"/>
    <w:bookmarkStart w:id="34" w:name="_Toc21707"/>
    <w:bookmarkStart w:id="35" w:name="_Toc20529"/>
    <w:bookmarkStart w:id="36" w:name="_Toc16864"/>
    <w:bookmarkStart w:id="37" w:name="_Toc4256"/>
    <w:bookmarkStart w:id="38" w:name="_Toc8298"/>
    <w:p w14:paraId="2EE38FAA">
      <w:pPr>
        <w:pStyle w:val="style3"/>
        <w:spacing w:lineRule="exact" w:line="560"/>
        <w:rPr>
          <w:sz w:val="32"/>
        </w:rPr>
      </w:pPr>
      <w:r>
        <w:rPr>
          <w:rFonts w:hint="eastAsia"/>
          <w:sz w:val="32"/>
        </w:rPr>
        <w:t>3.2.1</w:t>
      </w:r>
      <w:r>
        <w:rPr>
          <w:sz w:val="32"/>
        </w:rPr>
        <w:t>产业定位</w:t>
      </w:r>
      <w:bookmarkEnd w:id="30"/>
      <w:bookmarkEnd w:id="31"/>
      <w:bookmarkEnd w:id="32"/>
    </w:p>
    <w:p w14:paraId="6B0B3463">
      <w:pPr>
        <w:pStyle w:val="style0"/>
        <w:spacing w:lineRule="exact" w:line="560"/>
        <w:ind w:firstLine="640"/>
        <w:rPr>
          <w:sz w:val="32"/>
        </w:rPr>
      </w:pPr>
      <w:r>
        <w:rPr>
          <w:rFonts w:hint="eastAsia"/>
          <w:sz w:val="32"/>
        </w:rPr>
        <w:t>以习近平新时代中国特色社会主义思想为指导，全面深入贯彻党的“二十大”精神，立足新发展阶段，完整、准确、全面贯彻新发展理念，加快构建新发展格局。把握江苏沿海地区发展、长三角一体化、长江经济带发展等重大战略机遇，在高质量发展及“双碳”战略目标的背景下，拓展连云港市石化产业发展新空间，在长三角、江苏省石化产业布局中发挥重要作用。</w:t>
      </w:r>
    </w:p>
    <w:p w14:paraId="27E5ACAF">
      <w:pPr>
        <w:pStyle w:val="style0"/>
        <w:spacing w:lineRule="exact" w:line="560"/>
        <w:ind w:firstLine="640"/>
        <w:rPr>
          <w:sz w:val="32"/>
        </w:rPr>
      </w:pPr>
      <w:r>
        <w:rPr>
          <w:rFonts w:hint="eastAsia"/>
          <w:sz w:val="32"/>
        </w:rPr>
        <w:t>以提升产业竞争力为核心，以产业链上下游延伸为途径，以发展高端产品集群为方向，积极推进</w:t>
      </w:r>
      <w:r>
        <w:rPr>
          <w:rFonts w:hint="eastAsia"/>
          <w:b/>
          <w:bCs/>
          <w:sz w:val="32"/>
        </w:rPr>
        <w:t>高水平炼化一体化项目，大力发展化工新材料和专用精细化学品产业，加快绿色低碳产业发展</w:t>
      </w:r>
      <w:r>
        <w:rPr>
          <w:rFonts w:hint="eastAsia"/>
          <w:sz w:val="32"/>
        </w:rPr>
        <w:t>。</w:t>
      </w:r>
    </w:p>
    <w:bookmarkStart w:id="39" w:name="_Toc17001"/>
    <w:p w14:paraId="311E6CA6">
      <w:pPr>
        <w:pStyle w:val="style3"/>
        <w:spacing w:lineRule="exact" w:line="560"/>
        <w:rPr>
          <w:sz w:val="32"/>
        </w:rPr>
      </w:pPr>
      <w:r>
        <w:rPr>
          <w:rFonts w:hint="eastAsia"/>
          <w:sz w:val="32"/>
        </w:rPr>
        <w:t>3.2.2发展定位</w:t>
      </w:r>
      <w:bookmarkEnd w:id="33"/>
      <w:bookmarkEnd w:id="34"/>
      <w:bookmarkEnd w:id="39"/>
    </w:p>
    <w:p w14:paraId="292A7BD6">
      <w:pPr>
        <w:pStyle w:val="style0"/>
        <w:spacing w:lineRule="exact" w:line="560"/>
        <w:ind w:firstLine="640"/>
        <w:rPr>
          <w:sz w:val="32"/>
        </w:rPr>
      </w:pPr>
      <w:r>
        <w:rPr>
          <w:rFonts w:hint="eastAsia"/>
          <w:sz w:val="32"/>
        </w:rPr>
        <w:t>园区发展定位：</w:t>
      </w:r>
      <w:r>
        <w:rPr>
          <w:b/>
          <w:bCs/>
          <w:sz w:val="32"/>
        </w:rPr>
        <w:t>连云港石化产业基地产业链延伸区</w:t>
      </w:r>
      <w:r>
        <w:rPr>
          <w:rFonts w:hint="eastAsia"/>
          <w:b/>
          <w:bCs/>
          <w:sz w:val="32"/>
        </w:rPr>
        <w:t>；长三角、江苏省炼化产业空间拓展区；国家高端石化产品创新引领区；石化化工行业绿色低碳发展示范区。</w:t>
      </w:r>
    </w:p>
    <w:bookmarkStart w:id="40" w:name="_Toc13013"/>
    <w:p w14:paraId="5DDD7AA9">
      <w:pPr>
        <w:pStyle w:val="style3"/>
        <w:spacing w:lineRule="exact" w:line="560"/>
        <w:rPr>
          <w:sz w:val="32"/>
        </w:rPr>
      </w:pPr>
      <w:r>
        <w:rPr>
          <w:rFonts w:hint="eastAsia"/>
          <w:sz w:val="32"/>
        </w:rPr>
        <w:t>3.2.3</w:t>
      </w:r>
      <w:r>
        <w:rPr>
          <w:sz w:val="32"/>
        </w:rPr>
        <w:t>产业发展思路</w:t>
      </w:r>
      <w:bookmarkEnd w:id="35"/>
      <w:bookmarkEnd w:id="36"/>
      <w:bookmarkEnd w:id="37"/>
      <w:bookmarkEnd w:id="40"/>
    </w:p>
    <w:p w14:paraId="14B78EE6">
      <w:pPr>
        <w:pStyle w:val="style0"/>
        <w:spacing w:lineRule="exact" w:line="560"/>
        <w:ind w:firstLine="643"/>
        <w:rPr>
          <w:b/>
          <w:bCs/>
          <w:sz w:val="32"/>
        </w:rPr>
      </w:pPr>
      <w:r>
        <w:rPr>
          <w:rFonts w:hint="eastAsia"/>
          <w:b/>
          <w:bCs/>
          <w:sz w:val="32"/>
        </w:rPr>
        <w:t>（1）积极推进炼化一体化产业高质量发展</w:t>
      </w:r>
    </w:p>
    <w:p w14:paraId="60F1B770">
      <w:pPr>
        <w:pStyle w:val="style0"/>
        <w:spacing w:lineRule="exact" w:line="560"/>
        <w:ind w:firstLine="640"/>
        <w:rPr>
          <w:sz w:val="32"/>
        </w:rPr>
      </w:pPr>
      <w:r>
        <w:rPr>
          <w:rFonts w:hint="eastAsia"/>
          <w:sz w:val="32"/>
        </w:rPr>
        <w:t>《连云港石化产业基地总体发展规划（修编）》中，炼油规模发展目标为达到</w:t>
      </w:r>
      <w:r>
        <w:rPr>
          <w:sz w:val="32"/>
        </w:rPr>
        <w:t>4000</w:t>
      </w:r>
      <w:r>
        <w:rPr>
          <w:rFonts w:hint="eastAsia"/>
          <w:sz w:val="32"/>
        </w:rPr>
        <w:t>万吨级，目前</w:t>
      </w:r>
      <w:r>
        <w:rPr>
          <w:sz w:val="32"/>
        </w:rPr>
        <w:t>1600</w:t>
      </w:r>
      <w:r>
        <w:rPr>
          <w:rFonts w:hint="eastAsia"/>
          <w:sz w:val="32"/>
        </w:rPr>
        <w:t>万吨</w:t>
      </w:r>
      <w:r>
        <w:rPr>
          <w:sz w:val="32"/>
        </w:rPr>
        <w:t>/</w:t>
      </w:r>
      <w:r>
        <w:rPr>
          <w:rFonts w:hint="eastAsia"/>
          <w:sz w:val="32"/>
        </w:rPr>
        <w:t>年炼化一体化项目已建成投产。为适应行业发展形势，连云港石化产业基地将重点依托已建炼化一体化项目，推进减油增化乙烯项目建设，原规划的二期炼化一体化项目已没有发展空间。化工产业园（扩区部分）具有较大的发展空间，与连云港石化产业基地一河之隔，依托石化产业基地的物流和基础设施，在</w:t>
      </w:r>
      <w:r>
        <w:rPr>
          <w:rFonts w:cs="Times New Roman" w:hint="eastAsia"/>
          <w:sz w:val="32"/>
          <w:szCs w:val="28"/>
        </w:rPr>
        <w:t>化工产业园（扩区部分）</w:t>
      </w:r>
      <w:r>
        <w:rPr>
          <w:rFonts w:hint="eastAsia"/>
          <w:sz w:val="32"/>
        </w:rPr>
        <w:t>规划建设二期炼化一体化项目有较好的条件。在建设过程中，可以根据市场、技术、能耗等情况，对原规划方案和发展路径进行优化，使上游基础炼化产业更符合行业发展的趋势。</w:t>
      </w:r>
    </w:p>
    <w:p w14:paraId="34173222">
      <w:pPr>
        <w:pStyle w:val="style0"/>
        <w:spacing w:lineRule="exact" w:line="560"/>
        <w:ind w:firstLine="643"/>
        <w:rPr>
          <w:sz w:val="32"/>
        </w:rPr>
      </w:pPr>
      <w:r>
        <w:rPr>
          <w:rFonts w:hint="eastAsia"/>
          <w:b/>
          <w:bCs/>
          <w:sz w:val="32"/>
        </w:rPr>
        <w:t>（2）紧密衔石化产业基地资源进行产业链延伸</w:t>
      </w:r>
    </w:p>
    <w:p w14:paraId="78EB1226">
      <w:pPr>
        <w:pStyle w:val="style0"/>
        <w:spacing w:lineRule="exact" w:line="560"/>
        <w:ind w:firstLine="640"/>
        <w:rPr>
          <w:sz w:val="32"/>
        </w:rPr>
      </w:pPr>
      <w:r>
        <w:rPr>
          <w:rFonts w:hint="eastAsia"/>
          <w:sz w:val="32"/>
        </w:rPr>
        <w:t>连云港石化产业基地产业快速发展，炼化一体化、轻烃综合利用、丙烷脱氢等多套基础炼化产业项目建成投产，形成了丰富的有机化工原料资源。这些资源除了在连云港石化产业基地内部进行加工利用外，还有多种大宗原料对外销售。通过在化工产业园（扩区部分）进行产业链延伸，发展化工新材料和专用精细化学品，尽可能减少液体有机化工产品的外销量，既延长了产业链条，提升区域产业的整体效益，也可以减少运输过程中的安全环保风险。</w:t>
      </w:r>
    </w:p>
    <w:p w14:paraId="6D2426CD">
      <w:pPr>
        <w:pStyle w:val="style0"/>
        <w:spacing w:lineRule="exact" w:line="560"/>
        <w:ind w:firstLine="643"/>
        <w:rPr>
          <w:b/>
          <w:bCs/>
          <w:sz w:val="32"/>
        </w:rPr>
      </w:pPr>
      <w:r>
        <w:rPr>
          <w:rFonts w:hint="eastAsia"/>
          <w:b/>
          <w:bCs/>
          <w:sz w:val="32"/>
        </w:rPr>
        <w:t>（3）大力发展高端石化产品集群</w:t>
      </w:r>
    </w:p>
    <w:p w14:paraId="1EF16F00">
      <w:pPr>
        <w:pStyle w:val="style0"/>
        <w:spacing w:lineRule="exact" w:line="560"/>
        <w:ind w:firstLine="640"/>
        <w:rPr>
          <w:sz w:val="32"/>
        </w:rPr>
      </w:pPr>
      <w:r>
        <w:rPr>
          <w:rFonts w:hint="eastAsia"/>
          <w:sz w:val="32"/>
        </w:rPr>
        <w:t>发挥区域石化龙头项目的引领和聚集作用，结合产业链延伸，同时依托港口物流优势，延伸与拓展高端石化产业链。突出企业科技创新主体地位，培育引领性创新能力，通过创新驱动高端化、差异化发展。对接下游高端产业需求，推动产业链协同创新，打造上下游协同发展的产业生态，集群化发展高端化工新材料和专用精细化学品，培育数个面向终端应用的高端石化产品集群。</w:t>
      </w:r>
    </w:p>
    <w:p w14:paraId="2F3C1576">
      <w:pPr>
        <w:pStyle w:val="style0"/>
        <w:spacing w:lineRule="exact" w:line="560"/>
        <w:ind w:firstLine="643"/>
        <w:rPr>
          <w:b/>
          <w:bCs/>
          <w:sz w:val="32"/>
        </w:rPr>
      </w:pPr>
      <w:r>
        <w:rPr>
          <w:rFonts w:hint="eastAsia"/>
          <w:b/>
          <w:bCs/>
          <w:sz w:val="32"/>
        </w:rPr>
        <w:t>（4）稳步构建绿色低碳产业体系</w:t>
      </w:r>
    </w:p>
    <w:p w14:paraId="2F102E21">
      <w:pPr>
        <w:pStyle w:val="style0"/>
        <w:spacing w:lineRule="exact" w:line="560"/>
        <w:ind w:firstLine="640"/>
        <w:rPr>
          <w:sz w:val="32"/>
        </w:rPr>
      </w:pPr>
      <w:r>
        <w:rPr>
          <w:rFonts w:hint="eastAsia"/>
          <w:sz w:val="32"/>
        </w:rPr>
        <w:t>积极推动资源的高效及循环利用，推动产业项目开展节能降碳技术引进，促进先进节能管理经验和技术的推广。大力实施</w:t>
      </w:r>
      <w:r>
        <w:rPr>
          <w:sz w:val="32"/>
        </w:rPr>
        <w:t>CCUS</w:t>
      </w:r>
      <w:r>
        <w:rPr>
          <w:rFonts w:hint="eastAsia"/>
          <w:sz w:val="32"/>
        </w:rPr>
        <w:t>等绿色低碳新技术，挖掘二氧化碳资源化利用新路径，充分利用周边区域风电、光伏、核能等清洁能源的优势，发展绿色低碳产业项目，逐步构建高效、清洁、循环的绿色低碳产业体系。</w:t>
      </w:r>
    </w:p>
    <w:p w14:paraId="1AC66ECC">
      <w:pPr>
        <w:pStyle w:val="style0"/>
        <w:spacing w:lineRule="exact" w:line="560"/>
        <w:ind w:firstLine="643"/>
        <w:rPr>
          <w:b/>
          <w:bCs/>
          <w:sz w:val="32"/>
        </w:rPr>
      </w:pPr>
      <w:r>
        <w:rPr>
          <w:rFonts w:hint="eastAsia"/>
          <w:b/>
          <w:bCs/>
          <w:sz w:val="32"/>
        </w:rPr>
        <w:t>（5）统一规划，分阶段重点推进并灵活发展</w:t>
      </w:r>
    </w:p>
    <w:p w14:paraId="49955489">
      <w:pPr>
        <w:pStyle w:val="style0"/>
        <w:spacing w:lineRule="exact" w:line="560"/>
        <w:ind w:firstLine="640"/>
        <w:rPr>
          <w:sz w:val="32"/>
        </w:rPr>
      </w:pPr>
      <w:r>
        <w:rPr>
          <w:rFonts w:hint="eastAsia"/>
          <w:sz w:val="32"/>
        </w:rPr>
        <w:t>化工产业园（扩区部分）在产业项目的发展具有一定的不确定性。在发展路径和发展方向进行统一规划的前提下，分阶段进行重点产业项目的推进，但也需要根据市场、技术的变化情况，技术、原料可获得程度以及投资意向，在项目品种、规模以及时间上灵活发展。</w:t>
      </w:r>
    </w:p>
    <w:bookmarkStart w:id="41" w:name="_Toc3392"/>
    <w:bookmarkStart w:id="42" w:name="_Toc15453"/>
    <w:bookmarkStart w:id="43" w:name="_Toc32552"/>
    <w:bookmarkStart w:id="44" w:name="_Toc9714"/>
    <w:p w14:paraId="00D8F01A">
      <w:pPr>
        <w:pStyle w:val="style3"/>
        <w:spacing w:lineRule="exact" w:line="560"/>
        <w:rPr>
          <w:sz w:val="32"/>
        </w:rPr>
      </w:pPr>
      <w:r>
        <w:rPr>
          <w:rFonts w:hint="eastAsia"/>
          <w:sz w:val="32"/>
        </w:rPr>
        <w:t>3.2.4</w:t>
      </w:r>
      <w:r>
        <w:rPr>
          <w:sz w:val="32"/>
        </w:rPr>
        <w:t>产业发展目标</w:t>
      </w:r>
      <w:bookmarkEnd w:id="41"/>
      <w:bookmarkEnd w:id="42"/>
      <w:bookmarkEnd w:id="43"/>
      <w:bookmarkEnd w:id="44"/>
    </w:p>
    <w:p w14:paraId="1D7FD13E">
      <w:pPr>
        <w:pStyle w:val="style0"/>
        <w:spacing w:lineRule="exact" w:line="560"/>
        <w:ind w:firstLine="640"/>
        <w:rPr>
          <w:sz w:val="32"/>
        </w:rPr>
      </w:pPr>
      <w:r>
        <w:rPr>
          <w:rFonts w:hint="eastAsia"/>
          <w:sz w:val="32"/>
        </w:rPr>
        <w:t>在规划期内，若化工产业园（扩区部分）得到充分开发利用，</w:t>
      </w:r>
      <w:r>
        <w:rPr>
          <w:sz w:val="32"/>
        </w:rPr>
        <w:t>到规划期末预计园区产业项目总投资将达到约2000亿元，年产值将达到约2200亿元，年利税将达到约420亿元，年利润将达到约300亿元。</w:t>
      </w:r>
    </w:p>
    <w:bookmarkStart w:id="45" w:name="_Toc1353"/>
    <w:bookmarkStart w:id="46" w:name="_Toc2023"/>
    <w:bookmarkStart w:id="47" w:name="_Toc20571"/>
    <w:bookmarkStart w:id="48" w:name="_Toc937"/>
    <w:p w14:paraId="4B8AE90D">
      <w:pPr>
        <w:pStyle w:val="style3"/>
        <w:spacing w:lineRule="exact" w:line="560"/>
        <w:rPr>
          <w:sz w:val="32"/>
        </w:rPr>
      </w:pPr>
      <w:r>
        <w:rPr>
          <w:rFonts w:hint="eastAsia"/>
          <w:sz w:val="32"/>
        </w:rPr>
        <w:t>3.2.5</w:t>
      </w:r>
      <w:r>
        <w:rPr>
          <w:sz w:val="32"/>
        </w:rPr>
        <w:t>产业发展重点</w:t>
      </w:r>
      <w:bookmarkEnd w:id="45"/>
      <w:bookmarkEnd w:id="46"/>
      <w:bookmarkEnd w:id="47"/>
      <w:bookmarkEnd w:id="48"/>
    </w:p>
    <w:p w14:paraId="2B1B7F8A">
      <w:pPr>
        <w:pStyle w:val="style0"/>
        <w:spacing w:lineRule="exact" w:line="560"/>
        <w:ind w:firstLine="643"/>
        <w:rPr>
          <w:b/>
          <w:bCs/>
          <w:sz w:val="32"/>
        </w:rPr>
      </w:pPr>
      <w:r>
        <w:rPr>
          <w:rFonts w:hint="eastAsia"/>
          <w:b/>
          <w:bCs/>
          <w:sz w:val="32"/>
        </w:rPr>
        <w:t>（1）炼化一体化项目</w:t>
      </w:r>
    </w:p>
    <w:p w14:paraId="58F88AD4">
      <w:pPr>
        <w:pStyle w:val="style0"/>
        <w:spacing w:lineRule="exact" w:line="560"/>
        <w:ind w:firstLine="643"/>
        <w:rPr>
          <w:b/>
          <w:bCs/>
          <w:sz w:val="32"/>
        </w:rPr>
      </w:pPr>
      <w:r>
        <w:rPr>
          <w:rFonts w:hint="eastAsia"/>
          <w:b/>
          <w:bCs/>
          <w:sz w:val="32"/>
        </w:rPr>
        <w:t>——炼化一体化规模和路线</w:t>
      </w:r>
    </w:p>
    <w:p w14:paraId="51F2BB9C">
      <w:pPr>
        <w:pStyle w:val="style0"/>
        <w:spacing w:lineRule="exact" w:line="560"/>
        <w:ind w:firstLine="640"/>
        <w:rPr>
          <w:sz w:val="32"/>
        </w:rPr>
      </w:pPr>
      <w:r>
        <w:rPr>
          <w:rFonts w:hint="eastAsia"/>
          <w:sz w:val="32"/>
        </w:rPr>
        <w:t>建议</w:t>
      </w:r>
      <w:r>
        <w:rPr>
          <w:sz w:val="32"/>
        </w:rPr>
        <w:t>2400</w:t>
      </w:r>
      <w:r>
        <w:rPr>
          <w:rFonts w:hint="eastAsia"/>
          <w:sz w:val="32"/>
        </w:rPr>
        <w:t>万吨</w:t>
      </w:r>
      <w:r>
        <w:rPr>
          <w:sz w:val="32"/>
        </w:rPr>
        <w:t>/</w:t>
      </w:r>
      <w:r>
        <w:rPr>
          <w:rFonts w:hint="eastAsia"/>
          <w:sz w:val="32"/>
        </w:rPr>
        <w:t>年炼油为龙头的炼化一体化项目，以炼油</w:t>
      </w:r>
      <w:r>
        <w:rPr>
          <w:sz w:val="32"/>
        </w:rPr>
        <w:t>-</w:t>
      </w:r>
      <w:r>
        <w:rPr>
          <w:rFonts w:hint="eastAsia"/>
          <w:sz w:val="32"/>
        </w:rPr>
        <w:t>芳烃</w:t>
      </w:r>
      <w:r>
        <w:rPr>
          <w:sz w:val="32"/>
        </w:rPr>
        <w:t>-</w:t>
      </w:r>
      <w:r>
        <w:rPr>
          <w:rFonts w:hint="eastAsia"/>
          <w:sz w:val="32"/>
        </w:rPr>
        <w:t>乙烯一体化发展模式作为园区总体发展规划的主要模式，以炼油为基础，通过炼油生产的各种气体和化工轻油为原料，裂解生产乙烯、丙烯、芳烃等基本有机原料，进而向石化中下游产品进行延伸；炼油、乙烯、芳烃之间可以进行资源的互供，通过科学的炼油二次加工配置，实现宜油则油、宜烯则烯、宜芳则芳，从而实现原油资源的合理有效利用。</w:t>
      </w:r>
    </w:p>
    <w:p w14:paraId="68142C48">
      <w:pPr>
        <w:pStyle w:val="style0"/>
        <w:spacing w:lineRule="exact" w:line="560"/>
        <w:ind w:firstLine="640"/>
        <w:rPr>
          <w:sz w:val="32"/>
        </w:rPr>
      </w:pPr>
      <w:r>
        <w:rPr>
          <w:rFonts w:hint="eastAsia"/>
          <w:sz w:val="32"/>
        </w:rPr>
        <w:t>建设规模为</w:t>
      </w:r>
      <w:r>
        <w:rPr>
          <w:sz w:val="32"/>
        </w:rPr>
        <w:t>2400</w:t>
      </w:r>
      <w:r>
        <w:rPr>
          <w:rFonts w:hint="eastAsia"/>
          <w:sz w:val="32"/>
        </w:rPr>
        <w:t>万吨</w:t>
      </w:r>
      <w:r>
        <w:rPr>
          <w:sz w:val="32"/>
        </w:rPr>
        <w:t>/</w:t>
      </w:r>
      <w:r>
        <w:rPr>
          <w:rFonts w:hint="eastAsia"/>
          <w:sz w:val="32"/>
        </w:rPr>
        <w:t>年炼油、</w:t>
      </w:r>
      <w:r>
        <w:rPr>
          <w:sz w:val="32"/>
        </w:rPr>
        <w:t>300</w:t>
      </w:r>
      <w:r>
        <w:rPr>
          <w:rFonts w:hint="eastAsia"/>
          <w:sz w:val="32"/>
        </w:rPr>
        <w:t>万吨</w:t>
      </w:r>
      <w:r>
        <w:rPr>
          <w:sz w:val="32"/>
        </w:rPr>
        <w:t>/</w:t>
      </w:r>
      <w:r>
        <w:rPr>
          <w:rFonts w:hint="eastAsia"/>
          <w:sz w:val="32"/>
        </w:rPr>
        <w:t>年乙烯、</w:t>
      </w:r>
      <w:r>
        <w:rPr>
          <w:sz w:val="32"/>
        </w:rPr>
        <w:t>330</w:t>
      </w:r>
      <w:r>
        <w:rPr>
          <w:rFonts w:hint="eastAsia"/>
          <w:sz w:val="32"/>
        </w:rPr>
        <w:t>万吨</w:t>
      </w:r>
      <w:r>
        <w:rPr>
          <w:sz w:val="32"/>
        </w:rPr>
        <w:t>/</w:t>
      </w:r>
      <w:r>
        <w:rPr>
          <w:rFonts w:hint="eastAsia"/>
          <w:sz w:val="32"/>
        </w:rPr>
        <w:t>年对二甲苯。重点建设新建原油处理、固定床加氢裂化、加氢裂化、蒸汽裂解、芳烃联合（含预加氢、重整、歧化、</w:t>
      </w:r>
      <w:r>
        <w:rPr>
          <w:sz w:val="32"/>
        </w:rPr>
        <w:t>PX装置）等装置。</w:t>
      </w:r>
      <w:r>
        <w:rPr>
          <w:rFonts w:hint="eastAsia"/>
          <w:sz w:val="32"/>
        </w:rPr>
        <w:t>在实施过程中，根据届时的市场、技术等情况进行方案优化调整。</w:t>
      </w:r>
    </w:p>
    <w:p w14:paraId="68F3B379">
      <w:pPr>
        <w:pStyle w:val="style0"/>
        <w:spacing w:lineRule="exact" w:line="560"/>
        <w:ind w:firstLine="643"/>
        <w:rPr>
          <w:b/>
          <w:bCs/>
          <w:sz w:val="32"/>
        </w:rPr>
      </w:pPr>
      <w:r>
        <w:rPr>
          <w:rFonts w:hint="eastAsia"/>
          <w:b/>
          <w:bCs/>
          <w:sz w:val="32"/>
        </w:rPr>
        <w:t>——乙烯产业链</w:t>
      </w:r>
    </w:p>
    <w:p w14:paraId="683929AF">
      <w:pPr>
        <w:pStyle w:val="style0"/>
        <w:spacing w:lineRule="exact" w:line="560"/>
        <w:ind w:firstLine="640"/>
        <w:rPr>
          <w:sz w:val="32"/>
        </w:rPr>
      </w:pPr>
      <w:r>
        <w:rPr>
          <w:rFonts w:hint="eastAsia"/>
          <w:sz w:val="32"/>
        </w:rPr>
        <w:t>连云港石化产业基地目前乙烯产业链主要资源为乙二醇，二期乙烯项目建成后，苯乙烯、醋酸乙烯等资源量将会增加。</w:t>
      </w:r>
    </w:p>
    <w:p w14:paraId="7400FAA9">
      <w:pPr>
        <w:pStyle w:val="style0"/>
        <w:spacing w:lineRule="exact" w:line="560"/>
        <w:ind w:firstLine="640"/>
        <w:rPr>
          <w:sz w:val="32"/>
        </w:rPr>
      </w:pPr>
      <w:r>
        <w:rPr>
          <w:rFonts w:cs="Times New Roman" w:hint="eastAsia"/>
          <w:sz w:val="32"/>
          <w:szCs w:val="28"/>
        </w:rPr>
        <w:t>化工产业园（扩区部分）</w:t>
      </w:r>
      <w:r>
        <w:rPr>
          <w:rFonts w:hint="eastAsia"/>
          <w:sz w:val="32"/>
        </w:rPr>
        <w:t>乙烯产业链重点向下游发展溶液法聚乙烯、聚乙烯专用料、醋酸乙烯、</w:t>
      </w:r>
      <w:r>
        <w:rPr>
          <w:sz w:val="32"/>
        </w:rPr>
        <w:t>a-</w:t>
      </w:r>
      <w:r>
        <w:rPr>
          <w:rFonts w:hint="eastAsia"/>
          <w:sz w:val="32"/>
        </w:rPr>
        <w:t>烯烃、</w:t>
      </w:r>
      <w:r>
        <w:rPr>
          <w:sz w:val="32"/>
        </w:rPr>
        <w:t>POE</w:t>
      </w:r>
      <w:r>
        <w:rPr>
          <w:rFonts w:hint="eastAsia"/>
          <w:sz w:val="32"/>
        </w:rPr>
        <w:t>、超高分子量聚乙烯、碳酸二甲酯、</w:t>
      </w:r>
      <w:r>
        <w:rPr>
          <w:sz w:val="32"/>
        </w:rPr>
        <w:t>EVA</w:t>
      </w:r>
      <w:r>
        <w:rPr>
          <w:rFonts w:hint="eastAsia"/>
          <w:sz w:val="32"/>
        </w:rPr>
        <w:t>、环氧乙烷、乙丙橡胶、乙醇胺、乙撑胺、</w:t>
      </w:r>
      <w:r>
        <w:rPr>
          <w:sz w:val="32"/>
        </w:rPr>
        <w:t>EVOH</w:t>
      </w:r>
      <w:r>
        <w:rPr>
          <w:rFonts w:hint="eastAsia"/>
          <w:sz w:val="32"/>
        </w:rPr>
        <w:t>树脂、聚乙烯醇缩丁醛等产品。</w:t>
      </w:r>
    </w:p>
    <w:p w14:paraId="649D084C">
      <w:pPr>
        <w:pStyle w:val="style0"/>
        <w:spacing w:lineRule="exact" w:line="560"/>
        <w:ind w:firstLine="643"/>
        <w:rPr>
          <w:b/>
          <w:bCs/>
          <w:sz w:val="32"/>
        </w:rPr>
      </w:pPr>
      <w:r>
        <w:rPr>
          <w:rFonts w:hint="eastAsia"/>
          <w:b/>
          <w:bCs/>
          <w:sz w:val="32"/>
        </w:rPr>
        <w:t>——丙烯产业链</w:t>
      </w:r>
    </w:p>
    <w:p w14:paraId="775442D1">
      <w:pPr>
        <w:pStyle w:val="style0"/>
        <w:spacing w:lineRule="exact" w:line="560"/>
        <w:ind w:firstLine="640"/>
        <w:rPr>
          <w:sz w:val="32"/>
        </w:rPr>
      </w:pPr>
      <w:r>
        <w:rPr>
          <w:rFonts w:hint="eastAsia"/>
          <w:sz w:val="32"/>
        </w:rPr>
        <w:t>连云港石化产业基地目前丙烯产业链资源较为丰富，主要有丙烯腈、</w:t>
      </w:r>
      <w:r>
        <w:rPr>
          <w:sz w:val="32"/>
        </w:rPr>
        <w:t>MMA</w:t>
      </w:r>
      <w:r>
        <w:rPr>
          <w:rFonts w:hint="eastAsia"/>
          <w:sz w:val="32"/>
        </w:rPr>
        <w:t>、环氧丙烷、苯酚丙酮，二期乙烯项目建成后，环氧丙烷、丙烯酸及酯等资源量将会增加。</w:t>
      </w:r>
    </w:p>
    <w:p w14:paraId="76944BC0">
      <w:pPr>
        <w:pStyle w:val="style0"/>
        <w:spacing w:lineRule="exact" w:line="560"/>
        <w:ind w:firstLine="640"/>
        <w:rPr>
          <w:rFonts w:ascii="宋体" w:cs="宋体" w:eastAsia="宋体" w:hAnsi="宋体" w:hint="eastAsia"/>
          <w:kern w:val="0"/>
          <w:sz w:val="32"/>
          <w:szCs w:val="28"/>
        </w:rPr>
      </w:pPr>
      <w:r>
        <w:rPr>
          <w:rFonts w:hint="eastAsia"/>
          <w:sz w:val="32"/>
        </w:rPr>
        <w:t>根据市场需求潜力和石化基地产能投放情况，</w:t>
      </w:r>
      <w:r>
        <w:rPr>
          <w:rFonts w:cs="Times New Roman" w:hint="eastAsia"/>
          <w:sz w:val="32"/>
          <w:szCs w:val="28"/>
        </w:rPr>
        <w:t>化工产业园（扩区部分）</w:t>
      </w:r>
      <w:r>
        <w:rPr>
          <w:rFonts w:hint="eastAsia"/>
          <w:sz w:val="32"/>
        </w:rPr>
        <w:t>丙烯产业链重点向下游发展高端专用聚丙烯、丙烯酸丁酯、丙烯酸（含冰晶丙烯酸）及其酯、丁辛醇、新戊二醇、</w:t>
      </w:r>
      <w:r>
        <w:rPr>
          <w:sz w:val="32"/>
        </w:rPr>
        <w:t>SAP</w:t>
      </w:r>
      <w:r>
        <w:rPr>
          <w:rFonts w:hint="eastAsia"/>
          <w:sz w:val="32"/>
        </w:rPr>
        <w:t>、共氧化法环氧丙烷、聚醚多元醇、</w:t>
      </w:r>
      <w:r>
        <w:rPr>
          <w:sz w:val="32"/>
        </w:rPr>
        <w:t>ABS</w:t>
      </w:r>
      <w:r>
        <w:rPr>
          <w:rFonts w:hint="eastAsia"/>
          <w:sz w:val="32"/>
        </w:rPr>
        <w:t>、聚醚多元醇</w:t>
      </w:r>
      <w:r>
        <w:rPr>
          <w:sz w:val="32"/>
        </w:rPr>
        <w:t>-</w:t>
      </w:r>
      <w:r>
        <w:rPr>
          <w:rFonts w:hint="eastAsia"/>
          <w:sz w:val="32"/>
        </w:rPr>
        <w:t>聚氨酯弹性体、丙烯酸酯橡胶等产品；适度发展苯酚丙酮、双酚</w:t>
      </w:r>
      <w:r>
        <w:rPr>
          <w:sz w:val="32"/>
        </w:rPr>
        <w:t>A</w:t>
      </w:r>
      <w:r>
        <w:rPr>
          <w:rFonts w:hint="eastAsia"/>
          <w:sz w:val="32"/>
        </w:rPr>
        <w:t>、聚碳酸酯、双酚</w:t>
      </w:r>
      <w:r>
        <w:rPr>
          <w:sz w:val="32"/>
        </w:rPr>
        <w:t>A-</w:t>
      </w:r>
      <w:r>
        <w:rPr>
          <w:rFonts w:hint="eastAsia"/>
          <w:sz w:val="32"/>
        </w:rPr>
        <w:t>聚碳酸酯</w:t>
      </w:r>
      <w:r>
        <w:rPr>
          <w:sz w:val="32"/>
        </w:rPr>
        <w:t>/</w:t>
      </w:r>
      <w:r>
        <w:rPr>
          <w:rFonts w:hint="eastAsia"/>
          <w:sz w:val="32"/>
        </w:rPr>
        <w:t>环氧树脂等装置。</w:t>
      </w:r>
    </w:p>
    <w:p w14:paraId="322B0075">
      <w:pPr>
        <w:pStyle w:val="style0"/>
        <w:spacing w:lineRule="exact" w:line="560"/>
        <w:ind w:firstLine="643"/>
        <w:rPr>
          <w:b/>
          <w:bCs/>
          <w:sz w:val="32"/>
        </w:rPr>
      </w:pPr>
      <w:r>
        <w:rPr>
          <w:rFonts w:hint="eastAsia"/>
          <w:b/>
          <w:bCs/>
          <w:sz w:val="32"/>
        </w:rPr>
        <w:t>——碳四产业链</w:t>
      </w:r>
    </w:p>
    <w:p w14:paraId="36BD5E26">
      <w:pPr>
        <w:pStyle w:val="style0"/>
        <w:spacing w:lineRule="exact" w:line="560"/>
        <w:ind w:firstLine="640"/>
        <w:rPr>
          <w:sz w:val="32"/>
        </w:rPr>
      </w:pPr>
      <w:r>
        <w:rPr>
          <w:rFonts w:hint="eastAsia"/>
          <w:sz w:val="32"/>
        </w:rPr>
        <w:t>连云港石化产业基地目前主要的碳四资源已得到利用，</w:t>
      </w:r>
      <w:r>
        <w:rPr>
          <w:rFonts w:cs="Times New Roman" w:hint="eastAsia"/>
          <w:sz w:val="32"/>
          <w:szCs w:val="28"/>
        </w:rPr>
        <w:t>化工产业园（扩区部分）</w:t>
      </w:r>
      <w:r>
        <w:rPr>
          <w:rFonts w:hint="eastAsia"/>
          <w:sz w:val="32"/>
        </w:rPr>
        <w:t>炼化项目如果建成，碳四资源将较为丰富，在碳四产业链中可考虑发展的产品主要是依托其他配套资源，如</w:t>
      </w:r>
      <w:r>
        <w:rPr>
          <w:sz w:val="32"/>
        </w:rPr>
        <w:t>ABS</w:t>
      </w:r>
      <w:r>
        <w:rPr>
          <w:rFonts w:hint="eastAsia"/>
          <w:sz w:val="32"/>
        </w:rPr>
        <w:t>树脂、氢化丁腈橡胶、热塑性弹性体、</w:t>
      </w:r>
      <w:r>
        <w:rPr>
          <w:sz w:val="32"/>
        </w:rPr>
        <w:t>PBT</w:t>
      </w:r>
      <w:r>
        <w:rPr>
          <w:rFonts w:hint="eastAsia"/>
          <w:sz w:val="32"/>
        </w:rPr>
        <w:t>树脂、</w:t>
      </w:r>
      <w:r>
        <w:rPr>
          <w:sz w:val="32"/>
        </w:rPr>
        <w:t>TPEE</w:t>
      </w:r>
      <w:r>
        <w:rPr>
          <w:rFonts w:hint="eastAsia"/>
          <w:sz w:val="32"/>
        </w:rPr>
        <w:t>弹性体等。</w:t>
      </w:r>
    </w:p>
    <w:p w14:paraId="19D1A2E3">
      <w:pPr>
        <w:pStyle w:val="style0"/>
        <w:spacing w:lineRule="exact" w:line="560"/>
        <w:ind w:firstLine="643"/>
        <w:rPr>
          <w:b/>
          <w:bCs/>
          <w:sz w:val="32"/>
        </w:rPr>
      </w:pPr>
      <w:r>
        <w:rPr>
          <w:rFonts w:hint="eastAsia"/>
          <w:b/>
          <w:bCs/>
          <w:sz w:val="32"/>
        </w:rPr>
        <w:t>——碳五</w:t>
      </w:r>
      <w:r>
        <w:rPr>
          <w:b/>
          <w:bCs/>
          <w:sz w:val="32"/>
        </w:rPr>
        <w:t>/</w:t>
      </w:r>
      <w:r>
        <w:rPr>
          <w:rFonts w:hint="eastAsia"/>
          <w:b/>
          <w:bCs/>
          <w:sz w:val="32"/>
        </w:rPr>
        <w:t>碳九产业链</w:t>
      </w:r>
    </w:p>
    <w:p w14:paraId="1A629218">
      <w:pPr>
        <w:pStyle w:val="style0"/>
        <w:spacing w:lineRule="exact" w:line="560"/>
        <w:ind w:firstLine="640"/>
        <w:rPr>
          <w:sz w:val="32"/>
        </w:rPr>
      </w:pPr>
      <w:r>
        <w:rPr>
          <w:rFonts w:hint="eastAsia"/>
          <w:sz w:val="32"/>
        </w:rPr>
        <w:t>连云港石化产业基地已建乙烯项目的</w:t>
      </w:r>
      <w:r>
        <w:rPr>
          <w:sz w:val="32"/>
        </w:rPr>
        <w:t>C5</w:t>
      </w:r>
      <w:r>
        <w:rPr>
          <w:rFonts w:hint="eastAsia"/>
          <w:sz w:val="32"/>
        </w:rPr>
        <w:t>、</w:t>
      </w:r>
      <w:r>
        <w:rPr>
          <w:sz w:val="32"/>
        </w:rPr>
        <w:t>C9</w:t>
      </w:r>
      <w:r>
        <w:rPr>
          <w:rFonts w:hint="eastAsia"/>
          <w:sz w:val="32"/>
        </w:rPr>
        <w:t>资源已经在基地内进行了利用，</w:t>
      </w:r>
      <w:r>
        <w:rPr>
          <w:rFonts w:cs="Times New Roman" w:hint="eastAsia"/>
          <w:sz w:val="32"/>
          <w:szCs w:val="28"/>
        </w:rPr>
        <w:t>化工产业园（扩区部分）</w:t>
      </w:r>
      <w:r>
        <w:rPr>
          <w:rFonts w:hint="eastAsia"/>
          <w:sz w:val="32"/>
        </w:rPr>
        <w:t>炼化项目如果建成，碳五/碳九资源重点建设碳五分离、碳五加氢树脂、</w:t>
      </w:r>
      <w:r>
        <w:rPr>
          <w:sz w:val="32"/>
        </w:rPr>
        <w:t>ENB</w:t>
      </w:r>
      <w:r>
        <w:rPr>
          <w:rFonts w:hint="eastAsia"/>
          <w:sz w:val="32"/>
        </w:rPr>
        <w:t>、碳九分离、</w:t>
      </w:r>
      <w:r>
        <w:rPr>
          <w:sz w:val="32"/>
        </w:rPr>
        <w:t>PDCPD</w:t>
      </w:r>
      <w:r>
        <w:rPr>
          <w:rFonts w:hint="eastAsia"/>
          <w:sz w:val="32"/>
        </w:rPr>
        <w:t>等装置。</w:t>
      </w:r>
    </w:p>
    <w:p w14:paraId="528B5BF7">
      <w:pPr>
        <w:pStyle w:val="style0"/>
        <w:spacing w:lineRule="exact" w:line="560"/>
        <w:ind w:firstLine="643"/>
        <w:rPr>
          <w:b/>
          <w:bCs/>
          <w:sz w:val="32"/>
        </w:rPr>
      </w:pPr>
      <w:r>
        <w:rPr>
          <w:rFonts w:hint="eastAsia"/>
          <w:b/>
          <w:bCs/>
          <w:sz w:val="32"/>
        </w:rPr>
        <w:t>——芳烃产业链</w:t>
      </w:r>
    </w:p>
    <w:p w14:paraId="4753E3E1">
      <w:pPr>
        <w:pStyle w:val="style0"/>
        <w:spacing w:lineRule="exact" w:line="560"/>
        <w:ind w:firstLine="640"/>
        <w:rPr>
          <w:rFonts w:ascii="宋体" w:eastAsia="宋体" w:hAnsi="宋体" w:hint="eastAsia"/>
          <w:sz w:val="32"/>
          <w:szCs w:val="28"/>
        </w:rPr>
      </w:pPr>
      <w:r>
        <w:rPr>
          <w:rFonts w:hint="eastAsia"/>
          <w:sz w:val="32"/>
        </w:rPr>
        <w:t>芳烃产业链中纯苯除配套建设苯乙烯、苯酚/丙酮外，还应重点向下游发展苯酐、间苯二甲酸、间苯二甲胺、间苯二甲腈等装置；对二甲苯重点通过对苯二甲酸向下游聚酯产业链延伸，重点发展</w:t>
      </w:r>
      <w:r>
        <w:rPr>
          <w:sz w:val="32"/>
        </w:rPr>
        <w:t>PTA</w:t>
      </w:r>
      <w:r>
        <w:rPr>
          <w:rFonts w:hint="eastAsia"/>
          <w:sz w:val="32"/>
        </w:rPr>
        <w:t>、</w:t>
      </w:r>
      <w:r>
        <w:rPr>
          <w:sz w:val="32"/>
        </w:rPr>
        <w:t>PET</w:t>
      </w:r>
      <w:r>
        <w:rPr>
          <w:rFonts w:hint="eastAsia"/>
          <w:sz w:val="32"/>
        </w:rPr>
        <w:t>、</w:t>
      </w:r>
      <w:r>
        <w:rPr>
          <w:sz w:val="32"/>
        </w:rPr>
        <w:t>CHDM</w:t>
      </w:r>
      <w:r>
        <w:rPr>
          <w:rFonts w:hint="eastAsia"/>
          <w:sz w:val="32"/>
        </w:rPr>
        <w:t>、</w:t>
      </w:r>
      <w:r>
        <w:rPr>
          <w:sz w:val="32"/>
        </w:rPr>
        <w:t>PETG</w:t>
      </w:r>
      <w:r>
        <w:rPr>
          <w:rFonts w:hint="eastAsia"/>
          <w:sz w:val="32"/>
        </w:rPr>
        <w:t>等产品。</w:t>
      </w:r>
    </w:p>
    <w:p w14:paraId="7859FDB6">
      <w:pPr>
        <w:pStyle w:val="style0"/>
        <w:spacing w:lineRule="exact" w:line="560"/>
        <w:ind w:firstLine="643"/>
        <w:rPr>
          <w:b/>
          <w:bCs/>
          <w:sz w:val="32"/>
        </w:rPr>
      </w:pPr>
      <w:r>
        <w:rPr>
          <w:rFonts w:hint="eastAsia"/>
          <w:b/>
          <w:bCs/>
          <w:sz w:val="32"/>
        </w:rPr>
        <w:t>（</w:t>
      </w:r>
      <w:r>
        <w:rPr>
          <w:b/>
          <w:bCs/>
          <w:sz w:val="32"/>
        </w:rPr>
        <w:t>2</w:t>
      </w:r>
      <w:r>
        <w:rPr>
          <w:rFonts w:hint="eastAsia"/>
          <w:b/>
          <w:bCs/>
          <w:sz w:val="32"/>
        </w:rPr>
        <w:t>）化工新材料和专用精细化学品产业</w:t>
      </w:r>
    </w:p>
    <w:p w14:paraId="2F671A31">
      <w:pPr>
        <w:pStyle w:val="style0"/>
        <w:spacing w:lineRule="exact" w:line="560"/>
        <w:ind w:firstLine="643"/>
        <w:rPr>
          <w:sz w:val="32"/>
        </w:rPr>
      </w:pPr>
      <w:r>
        <w:rPr>
          <w:rFonts w:hint="eastAsia"/>
          <w:b/>
          <w:bCs/>
          <w:sz w:val="32"/>
        </w:rPr>
        <w:t>——高端聚烯烃</w:t>
      </w:r>
    </w:p>
    <w:p w14:paraId="21649302">
      <w:pPr>
        <w:pStyle w:val="style0"/>
        <w:spacing w:lineRule="exact" w:line="560"/>
        <w:ind w:firstLine="640"/>
        <w:rPr>
          <w:sz w:val="32"/>
        </w:rPr>
      </w:pPr>
      <w:r>
        <w:rPr>
          <w:rFonts w:hint="eastAsia"/>
          <w:sz w:val="32"/>
        </w:rPr>
        <w:t>重点发展茂金属聚乙烯、茂金属聚丙烯等高端牌号聚烯烃产品，适当发展光伏级</w:t>
      </w:r>
      <w:r>
        <w:rPr>
          <w:sz w:val="32"/>
        </w:rPr>
        <w:t>EVA</w:t>
      </w:r>
      <w:r>
        <w:rPr>
          <w:rFonts w:hint="eastAsia"/>
          <w:sz w:val="32"/>
        </w:rPr>
        <w:t>树脂、</w:t>
      </w:r>
      <w:r>
        <w:rPr>
          <w:sz w:val="32"/>
        </w:rPr>
        <w:t>POE/POP</w:t>
      </w:r>
      <w:r>
        <w:rPr>
          <w:rFonts w:hint="eastAsia"/>
          <w:sz w:val="32"/>
        </w:rPr>
        <w:t>弹性体、超高分子量聚乙烯、环状聚烯烃、聚丁烯</w:t>
      </w:r>
      <w:r>
        <w:rPr>
          <w:sz w:val="32"/>
        </w:rPr>
        <w:t>-1</w:t>
      </w:r>
      <w:r>
        <w:rPr>
          <w:rFonts w:hint="eastAsia"/>
          <w:sz w:val="32"/>
        </w:rPr>
        <w:t>、</w:t>
      </w:r>
      <w:r>
        <w:rPr>
          <w:sz w:val="32"/>
        </w:rPr>
        <w:t>EVOH</w:t>
      </w:r>
      <w:r>
        <w:rPr>
          <w:rFonts w:hint="eastAsia"/>
          <w:sz w:val="32"/>
        </w:rPr>
        <w:t>树脂等特种聚烯烃。</w:t>
      </w:r>
    </w:p>
    <w:p w14:paraId="2A6878F6">
      <w:pPr>
        <w:pStyle w:val="style0"/>
        <w:spacing w:lineRule="exact" w:line="560"/>
        <w:ind w:firstLine="643"/>
        <w:rPr>
          <w:b/>
          <w:bCs/>
          <w:sz w:val="32"/>
        </w:rPr>
      </w:pPr>
      <w:r>
        <w:rPr>
          <w:rFonts w:hint="eastAsia"/>
          <w:b/>
          <w:bCs/>
          <w:sz w:val="32"/>
        </w:rPr>
        <w:t>——工程塑料和特种工程塑料</w:t>
      </w:r>
    </w:p>
    <w:p w14:paraId="04F548EB">
      <w:pPr>
        <w:pStyle w:val="style0"/>
        <w:spacing w:lineRule="exact" w:line="560"/>
        <w:ind w:firstLine="640"/>
        <w:rPr>
          <w:sz w:val="32"/>
        </w:rPr>
      </w:pPr>
      <w:r>
        <w:rPr>
          <w:rFonts w:hint="eastAsia"/>
          <w:sz w:val="32"/>
        </w:rPr>
        <w:t>重点发展聚碳酸酯、尼龙、热塑性聚酯、</w:t>
      </w:r>
      <w:r>
        <w:rPr>
          <w:sz w:val="32"/>
        </w:rPr>
        <w:t>ABS</w:t>
      </w:r>
      <w:r>
        <w:rPr>
          <w:rFonts w:hint="eastAsia"/>
          <w:sz w:val="32"/>
        </w:rPr>
        <w:t>树脂等通用工程塑料，适当发展聚酰亚胺、聚醚醚酮、聚砜等特种工程塑料。</w:t>
      </w:r>
    </w:p>
    <w:p w14:paraId="50FB00CA">
      <w:pPr>
        <w:pStyle w:val="style0"/>
        <w:spacing w:lineRule="exact" w:line="560"/>
        <w:ind w:firstLine="643"/>
        <w:rPr>
          <w:b/>
          <w:bCs/>
          <w:sz w:val="32"/>
        </w:rPr>
      </w:pPr>
      <w:r>
        <w:rPr>
          <w:rFonts w:hint="eastAsia"/>
          <w:b/>
          <w:bCs/>
          <w:sz w:val="32"/>
        </w:rPr>
        <w:t>——特种橡胶和热塑性弹性体</w:t>
      </w:r>
    </w:p>
    <w:p w14:paraId="485A1FAC">
      <w:pPr>
        <w:pStyle w:val="style0"/>
        <w:spacing w:lineRule="exact" w:line="560"/>
        <w:ind w:firstLine="640"/>
        <w:rPr>
          <w:sz w:val="32"/>
        </w:rPr>
      </w:pPr>
      <w:r>
        <w:rPr>
          <w:rFonts w:cs="Times New Roman" w:hint="eastAsia"/>
          <w:sz w:val="32"/>
          <w:szCs w:val="28"/>
        </w:rPr>
        <w:t>化工产业园（扩区部分）</w:t>
      </w:r>
      <w:r>
        <w:rPr>
          <w:rFonts w:hint="eastAsia"/>
          <w:sz w:val="32"/>
        </w:rPr>
        <w:t>可根据资源情况，发展特种合成橡胶和热塑性弹性体，如低顺顺丁橡胶、高固丁苯胶乳、溶聚丁苯橡胶、丁戊橡胶、氢化丁腈橡胶、乙丙橡胶、丙烯酸酯橡胶等。</w:t>
      </w:r>
    </w:p>
    <w:p w14:paraId="447DDE9A">
      <w:pPr>
        <w:pStyle w:val="style0"/>
        <w:spacing w:lineRule="exact" w:line="560"/>
        <w:ind w:firstLine="643"/>
        <w:rPr>
          <w:b/>
          <w:bCs/>
          <w:sz w:val="32"/>
        </w:rPr>
      </w:pPr>
      <w:r>
        <w:rPr>
          <w:rFonts w:hint="eastAsia"/>
          <w:b/>
          <w:bCs/>
          <w:sz w:val="32"/>
        </w:rPr>
        <w:t>——高性能纤维</w:t>
      </w:r>
    </w:p>
    <w:p w14:paraId="2BD1A0F9">
      <w:pPr>
        <w:pStyle w:val="style0"/>
        <w:spacing w:lineRule="exact" w:line="560"/>
        <w:ind w:firstLine="640"/>
        <w:rPr>
          <w:sz w:val="32"/>
        </w:rPr>
      </w:pPr>
      <w:r>
        <w:rPr>
          <w:rFonts w:hint="eastAsia"/>
          <w:sz w:val="32"/>
        </w:rPr>
        <w:t>重点发展芳纶、碳纤维、超高分子量聚乙烯纤维、聚苯硫醚纤维、聚酰亚胺纤维等品种（该类项目建议放在临港产业区现有化工园区建设为主）。</w:t>
      </w:r>
    </w:p>
    <w:p w14:paraId="241940EF">
      <w:pPr>
        <w:pStyle w:val="style0"/>
        <w:spacing w:lineRule="exact" w:line="560"/>
        <w:ind w:firstLine="643"/>
        <w:rPr>
          <w:b/>
          <w:bCs/>
          <w:sz w:val="32"/>
        </w:rPr>
      </w:pPr>
      <w:r>
        <w:rPr>
          <w:rFonts w:hint="eastAsia"/>
          <w:b/>
          <w:bCs/>
          <w:sz w:val="32"/>
        </w:rPr>
        <w:t>——电子化学品</w:t>
      </w:r>
    </w:p>
    <w:p w14:paraId="77DCC772">
      <w:pPr>
        <w:pStyle w:val="style0"/>
        <w:spacing w:lineRule="exact" w:line="560"/>
        <w:ind w:firstLine="640"/>
        <w:rPr>
          <w:sz w:val="32"/>
        </w:rPr>
      </w:pPr>
      <w:r>
        <w:rPr>
          <w:rFonts w:hint="eastAsia"/>
          <w:sz w:val="32"/>
        </w:rPr>
        <w:t>与华东乃至全国集成电路、新型显示等下游制造业充分对接，通过与下游企业协同发展，突破一批对产业发展形成制约的关键材料。可重点布局高纯化学品、湿电子化学品、电子气体、封装材料、膜材料、光刻胶等领域。</w:t>
      </w:r>
    </w:p>
    <w:p w14:paraId="6BDC4A36">
      <w:pPr>
        <w:pStyle w:val="style0"/>
        <w:spacing w:lineRule="exact" w:line="560"/>
        <w:ind w:firstLine="643"/>
        <w:rPr>
          <w:b/>
          <w:bCs/>
          <w:sz w:val="32"/>
        </w:rPr>
      </w:pPr>
      <w:r>
        <w:rPr>
          <w:rFonts w:hint="eastAsia"/>
          <w:b/>
          <w:bCs/>
          <w:sz w:val="32"/>
        </w:rPr>
        <w:t>——新能源化学品</w:t>
      </w:r>
    </w:p>
    <w:p w14:paraId="7D17E5BC">
      <w:pPr>
        <w:pStyle w:val="style0"/>
        <w:spacing w:lineRule="exact" w:line="560"/>
        <w:ind w:firstLine="640"/>
        <w:rPr>
          <w:sz w:val="32"/>
        </w:rPr>
      </w:pPr>
      <w:r>
        <w:rPr>
          <w:rFonts w:hint="eastAsia"/>
          <w:sz w:val="32"/>
        </w:rPr>
        <w:t>重点重点推进二氧化碳综合利用制备新能源化学品产业链条建设，以环氧乙（丙）烷、二氧化碳、甲醇为原料，通过CO</w:t>
      </w:r>
      <w:r>
        <w:rPr>
          <w:rFonts w:hint="eastAsia"/>
          <w:sz w:val="32"/>
          <w:vertAlign w:val="subscript"/>
        </w:rPr>
        <w:t>2</w:t>
      </w:r>
      <w:r>
        <w:rPr>
          <w:rFonts w:hint="eastAsia"/>
          <w:sz w:val="32"/>
        </w:rPr>
        <w:t>与环氧化合物酯交换法生产碳酸二甲酯联产乙二醇及碳酸乙（丙）烯酯、氯代碳酸乙烯酯、氟代碳酸乙烯酯、碳酸甲乙酯（EMC）、碳酸二乙酯（DEC）等锂电电解液主要溶剂；同时发展隔膜材料以及铝塑膜、粘结剂等辅助材料。</w:t>
      </w:r>
    </w:p>
    <w:p w14:paraId="18D561B3">
      <w:pPr>
        <w:pStyle w:val="style0"/>
        <w:spacing w:lineRule="exact" w:line="560"/>
        <w:ind w:firstLine="643"/>
        <w:rPr>
          <w:b/>
          <w:bCs/>
          <w:sz w:val="32"/>
        </w:rPr>
      </w:pPr>
      <w:r>
        <w:rPr>
          <w:rFonts w:hint="eastAsia"/>
          <w:b/>
          <w:bCs/>
          <w:sz w:val="32"/>
        </w:rPr>
        <w:t>——精细专用化学品</w:t>
      </w:r>
    </w:p>
    <w:p w14:paraId="4D11C201">
      <w:pPr>
        <w:pStyle w:val="style0"/>
        <w:spacing w:lineRule="exact" w:line="560"/>
        <w:ind w:firstLine="640"/>
        <w:rPr>
          <w:sz w:val="32"/>
        </w:rPr>
      </w:pPr>
      <w:r>
        <w:rPr>
          <w:rFonts w:hint="eastAsia"/>
          <w:sz w:val="32"/>
        </w:rPr>
        <w:t>建议重点发展日用化学品领域的表面活性剂、溶剂等；建筑化学品领域的减水剂及单体、水性涂料及其原料、环保粘合剂等；高性能助剂领域的环保塑料助剂、橡胶助剂等；石化化工生产中的高性能催化剂。</w:t>
      </w:r>
    </w:p>
    <w:p w14:paraId="3D4C801F">
      <w:pPr>
        <w:pStyle w:val="style0"/>
        <w:spacing w:lineRule="exact" w:line="560"/>
        <w:ind w:firstLine="643"/>
        <w:rPr>
          <w:b/>
          <w:bCs/>
          <w:sz w:val="32"/>
        </w:rPr>
      </w:pPr>
      <w:r>
        <w:rPr>
          <w:rFonts w:hint="eastAsia"/>
          <w:b/>
          <w:bCs/>
          <w:sz w:val="32"/>
        </w:rPr>
        <w:t>（</w:t>
      </w:r>
      <w:r>
        <w:rPr>
          <w:b/>
          <w:bCs/>
          <w:sz w:val="32"/>
        </w:rPr>
        <w:t>3</w:t>
      </w:r>
      <w:r>
        <w:rPr>
          <w:rFonts w:hint="eastAsia"/>
          <w:b/>
          <w:bCs/>
          <w:sz w:val="32"/>
        </w:rPr>
        <w:t>）绿色低碳产业</w:t>
      </w:r>
    </w:p>
    <w:p w14:paraId="3ADC0459">
      <w:pPr>
        <w:pStyle w:val="style0"/>
        <w:spacing w:lineRule="exact" w:line="560"/>
        <w:ind w:firstLine="640"/>
        <w:rPr>
          <w:sz w:val="32"/>
        </w:rPr>
      </w:pPr>
      <w:r>
        <w:rPr>
          <w:rFonts w:hint="eastAsia"/>
          <w:sz w:val="32"/>
        </w:rPr>
        <w:t>通过二氧化碳捕集、清洁电力生产、电解水制绿氢等技术的耦合，可以生产绿色化工产品。根据连云港石化产业基地和化工产业园的需求，建议绿色低碳项目重点发展绿色甲醇、绿色醋酸和绿氨，实现二氧化碳减排，也能深化连云港石化产业基地和化工产业园融合发展。</w:t>
      </w:r>
    </w:p>
    <w:bookmarkEnd w:id="38"/>
    <w:p w14:paraId="259F9111">
      <w:pPr>
        <w:pStyle w:val="style0"/>
        <w:spacing w:lineRule="exact" w:line="560"/>
        <w:ind w:firstLine="0" w:firstLineChars="0"/>
        <w:rPr>
          <w:sz w:val="32"/>
        </w:rPr>
        <w:sectPr>
          <w:footerReference w:type="default" r:id="rId16"/>
          <w:pgSz w:w="11906" w:h="16838" w:orient="portrait"/>
          <w:pgMar w:top="1440" w:right="1803" w:bottom="1440" w:left="1803" w:header="851" w:footer="992" w:gutter="0"/>
          <w:pgNumType w:start="1"/>
          <w:cols w:space="0" w:num="1"/>
          <w:docGrid w:type="lines" w:linePitch="388" w:charSpace="0"/>
        </w:sectPr>
      </w:pPr>
    </w:p>
    <w:bookmarkStart w:id="49" w:name="_Toc19824"/>
    <w:bookmarkStart w:id="50" w:name="_Toc25379"/>
    <w:bookmarkStart w:id="51" w:name="_Toc29993"/>
    <w:p w14:paraId="758CFEA2">
      <w:pPr>
        <w:pStyle w:val="style1"/>
        <w:spacing w:lineRule="exact" w:line="560"/>
        <w:rPr>
          <w:rFonts w:hint="default"/>
        </w:rPr>
      </w:pPr>
      <w:r>
        <w:t>四、选址报告</w:t>
      </w:r>
      <w:bookmarkEnd w:id="49"/>
      <w:bookmarkEnd w:id="50"/>
      <w:bookmarkEnd w:id="51"/>
    </w:p>
    <w:bookmarkStart w:id="52" w:name="_Toc31631"/>
    <w:bookmarkStart w:id="53" w:name="_Toc24548"/>
    <w:bookmarkStart w:id="54" w:name="_Toc2708"/>
    <w:p w14:paraId="3D11754D">
      <w:pPr>
        <w:pStyle w:val="style2"/>
        <w:spacing w:lineRule="exact" w:line="560"/>
        <w:rPr>
          <w:rFonts w:hint="default"/>
          <w:sz w:val="32"/>
        </w:rPr>
      </w:pPr>
      <w:r>
        <w:rPr>
          <w:sz w:val="32"/>
        </w:rPr>
        <w:t>4.1国土空间规划相符性分析</w:t>
      </w:r>
      <w:bookmarkEnd w:id="52"/>
      <w:bookmarkEnd w:id="53"/>
      <w:bookmarkEnd w:id="54"/>
    </w:p>
    <w:bookmarkStart w:id="55" w:name="_Toc979"/>
    <w:bookmarkStart w:id="56" w:name="_Toc25261"/>
    <w:bookmarkStart w:id="57" w:name="_Toc20977"/>
    <w:p w14:paraId="5597098F">
      <w:pPr>
        <w:pStyle w:val="style3"/>
        <w:spacing w:lineRule="exact" w:line="560"/>
        <w:rPr>
          <w:sz w:val="32"/>
        </w:rPr>
      </w:pPr>
      <w:r>
        <w:rPr>
          <w:rFonts w:hint="eastAsia"/>
          <w:sz w:val="32"/>
        </w:rPr>
        <w:t>4.1.1</w:t>
      </w:r>
      <w:r>
        <w:rPr>
          <w:sz w:val="32"/>
        </w:rPr>
        <w:t>城镇开发边界分析</w:t>
      </w:r>
      <w:bookmarkEnd w:id="55"/>
      <w:bookmarkEnd w:id="56"/>
      <w:bookmarkEnd w:id="57"/>
    </w:p>
    <w:p w14:paraId="1E56A85D">
      <w:pPr>
        <w:pStyle w:val="style0"/>
        <w:spacing w:lineRule="exact" w:line="560"/>
        <w:ind w:firstLine="640"/>
        <w:rPr>
          <w:sz w:val="32"/>
        </w:rPr>
      </w:pPr>
      <w:r>
        <w:rPr>
          <w:rFonts w:hint="eastAsia"/>
          <w:sz w:val="32"/>
        </w:rPr>
        <w:t>通过与《灌云县国土空间规划总体规划（2021-2035）》对接，灌云县临港产业区化工产业园（扩区部分）规划范围内有9.</w:t>
      </w:r>
      <w:r>
        <w:rPr>
          <w:rFonts w:hint="eastAsia"/>
          <w:sz w:val="32"/>
          <w:lang w:val="en-US" w:eastAsia="zh-CN"/>
        </w:rPr>
        <w:t>34</w:t>
      </w:r>
      <w:r>
        <w:rPr>
          <w:rFonts w:hint="eastAsia"/>
          <w:sz w:val="32"/>
        </w:rPr>
        <w:t>平方公里用地位于城镇开发边界内，符合上位规划要求，主要位于园区东部，可以作为启动项目及部分中期项目开发建设用地，剩余</w:t>
      </w:r>
      <w:r>
        <w:rPr>
          <w:rFonts w:hint="eastAsia"/>
          <w:sz w:val="32"/>
          <w:lang w:val="en-US" w:eastAsia="zh-CN"/>
        </w:rPr>
        <w:t>15.02</w:t>
      </w:r>
      <w:r>
        <w:rPr>
          <w:rFonts w:hint="eastAsia"/>
          <w:sz w:val="32"/>
        </w:rPr>
        <w:t>平方公里用地可作为中远期用地。建议灌云县临港产业区化工产业园（扩区部分）通过合理规划，将项目用地调整到城镇开发边界内，将其调整为合适的用地性质</w:t>
      </w:r>
      <w:r>
        <w:rPr>
          <w:sz w:val="32"/>
        </w:rPr>
        <w:t>。</w:t>
      </w:r>
    </w:p>
    <w:bookmarkStart w:id="58" w:name="_Toc12109"/>
    <w:bookmarkStart w:id="59" w:name="_Toc26049"/>
    <w:bookmarkStart w:id="60" w:name="_Toc29454"/>
    <w:p w14:paraId="7D85C376">
      <w:pPr>
        <w:pStyle w:val="style3"/>
        <w:spacing w:lineRule="exact" w:line="560"/>
        <w:rPr>
          <w:sz w:val="32"/>
        </w:rPr>
      </w:pPr>
      <w:r>
        <w:rPr>
          <w:rFonts w:hint="eastAsia"/>
          <w:sz w:val="32"/>
        </w:rPr>
        <w:t>4.1.2</w:t>
      </w:r>
      <w:r>
        <w:rPr>
          <w:sz w:val="32"/>
        </w:rPr>
        <w:t>永久基本农田分析</w:t>
      </w:r>
      <w:bookmarkEnd w:id="58"/>
      <w:bookmarkEnd w:id="59"/>
      <w:bookmarkEnd w:id="60"/>
    </w:p>
    <w:p w14:paraId="0FA8713E">
      <w:pPr>
        <w:pStyle w:val="style0"/>
        <w:spacing w:lineRule="exact" w:line="560"/>
        <w:ind w:firstLine="640"/>
        <w:rPr>
          <w:rFonts w:eastAsia="宋体"/>
          <w:sz w:val="32"/>
          <w:szCs w:val="28"/>
        </w:rPr>
      </w:pPr>
      <w:r>
        <w:rPr>
          <w:rFonts w:hint="eastAsia"/>
          <w:sz w:val="32"/>
        </w:rPr>
        <w:t>根据《连云港市国土空间总体规划（2021-2035年）》、《灌云县国土空间规划总体规划（2021-2035）》</w:t>
      </w:r>
      <w:r>
        <w:rPr>
          <w:sz w:val="32"/>
        </w:rPr>
        <w:t>用地布局，</w:t>
      </w:r>
      <w:r>
        <w:rPr>
          <w:rFonts w:hint="eastAsia"/>
          <w:sz w:val="32"/>
        </w:rPr>
        <w:t>化工产业园（扩区部分）</w:t>
      </w:r>
      <w:r>
        <w:rPr>
          <w:sz w:val="32"/>
        </w:rPr>
        <w:t>规划建设范围不涉及生态空间保护区域，不占用基本农田。</w:t>
      </w:r>
    </w:p>
    <w:bookmarkStart w:id="61" w:name="_Toc22872"/>
    <w:bookmarkStart w:id="62" w:name="_Toc19608"/>
    <w:bookmarkStart w:id="63" w:name="_Toc2737"/>
    <w:p w14:paraId="4C0D163D">
      <w:pPr>
        <w:pStyle w:val="style3"/>
        <w:spacing w:lineRule="exact" w:line="560"/>
        <w:rPr>
          <w:sz w:val="32"/>
        </w:rPr>
      </w:pPr>
      <w:r>
        <w:rPr>
          <w:rFonts w:hint="eastAsia"/>
          <w:sz w:val="32"/>
        </w:rPr>
        <w:t>4.1.3</w:t>
      </w:r>
      <w:r>
        <w:rPr>
          <w:sz w:val="32"/>
        </w:rPr>
        <w:t>生态保护红线</w:t>
      </w:r>
      <w:bookmarkEnd w:id="61"/>
      <w:bookmarkEnd w:id="62"/>
      <w:bookmarkEnd w:id="63"/>
    </w:p>
    <w:p w14:paraId="2D1AFD46">
      <w:pPr>
        <w:pStyle w:val="style0"/>
        <w:spacing w:lineRule="exact" w:line="560"/>
        <w:ind w:firstLine="640"/>
        <w:rPr>
          <w:rFonts w:eastAsia="宋体"/>
          <w:sz w:val="32"/>
          <w:szCs w:val="28"/>
        </w:rPr>
      </w:pPr>
      <w:r>
        <w:rPr>
          <w:rFonts w:hint="eastAsia"/>
          <w:sz w:val="32"/>
        </w:rPr>
        <w:t>化工产业园（扩区部分）</w:t>
      </w:r>
      <w:r>
        <w:rPr>
          <w:sz w:val="32"/>
        </w:rPr>
        <w:t>不在江苏省国家级生态红线名录范围内</w:t>
      </w:r>
      <w:r>
        <w:rPr>
          <w:rFonts w:hint="eastAsia"/>
          <w:sz w:val="32"/>
        </w:rPr>
        <w:t>，距离最近的生态红线名录为连云港市灌云县古泊善后河饮用水水源保护区，约0.8km</w:t>
      </w:r>
      <w:r>
        <w:rPr>
          <w:sz w:val="32"/>
        </w:rPr>
        <w:t>。</w:t>
      </w:r>
    </w:p>
    <w:bookmarkStart w:id="64" w:name="_Toc31559"/>
    <w:bookmarkStart w:id="65" w:name="_Toc20810"/>
    <w:bookmarkStart w:id="66" w:name="_Toc2425"/>
    <w:bookmarkStart w:id="67" w:name="_Toc151116578"/>
    <w:p w14:paraId="7F733B78">
      <w:pPr>
        <w:pStyle w:val="style2"/>
        <w:spacing w:lineRule="exact" w:line="560"/>
        <w:rPr>
          <w:rFonts w:hint="default"/>
          <w:sz w:val="32"/>
        </w:rPr>
      </w:pPr>
      <w:r>
        <w:rPr>
          <w:sz w:val="32"/>
        </w:rPr>
        <w:t>4.2选址环境合理性分析</w:t>
      </w:r>
      <w:bookmarkEnd w:id="64"/>
      <w:bookmarkEnd w:id="65"/>
    </w:p>
    <w:bookmarkStart w:id="68" w:name="_Toc16898"/>
    <w:p w14:paraId="02BD7105">
      <w:pPr>
        <w:pStyle w:val="style0"/>
        <w:spacing w:lineRule="exact" w:line="560"/>
        <w:ind w:firstLine="640"/>
        <w:rPr>
          <w:sz w:val="32"/>
        </w:rPr>
      </w:pPr>
      <w:r>
        <w:rPr>
          <w:rFonts w:hint="eastAsia"/>
          <w:sz w:val="32"/>
        </w:rPr>
        <w:t>从“资源赋存及利用</w:t>
      </w:r>
      <w:bookmarkEnd w:id="68"/>
      <w:r>
        <w:rPr>
          <w:rFonts w:hint="eastAsia"/>
          <w:sz w:val="32"/>
        </w:rPr>
        <w:t>”、</w:t>
      </w:r>
      <w:bookmarkStart w:id="69" w:name="_Toc10095"/>
      <w:r>
        <w:rPr>
          <w:rFonts w:hint="eastAsia"/>
          <w:sz w:val="32"/>
        </w:rPr>
        <w:t>“环境资源承载力分析”</w:t>
      </w:r>
      <w:bookmarkEnd w:id="69"/>
      <w:r>
        <w:rPr>
          <w:rFonts w:hint="eastAsia"/>
          <w:sz w:val="32"/>
        </w:rPr>
        <w:t>、</w:t>
      </w:r>
      <w:bookmarkStart w:id="70" w:name="_Toc19645"/>
      <w:r>
        <w:rPr>
          <w:rFonts w:hint="eastAsia"/>
          <w:sz w:val="32"/>
        </w:rPr>
        <w:t>“污水排污通道”</w:t>
      </w:r>
      <w:bookmarkStart w:id="71" w:name="_Toc5314"/>
      <w:bookmarkEnd w:id="70"/>
      <w:r>
        <w:rPr>
          <w:rFonts w:hint="eastAsia"/>
          <w:sz w:val="32"/>
        </w:rPr>
        <w:t>、“生态安全”</w:t>
      </w:r>
      <w:bookmarkEnd w:id="71"/>
      <w:r>
        <w:rPr>
          <w:rFonts w:hint="eastAsia"/>
          <w:sz w:val="32"/>
        </w:rPr>
        <w:t>、“人群分布”等方面分析，化工产业园（扩区部分）的选址是合理的。</w:t>
      </w:r>
    </w:p>
    <w:bookmarkStart w:id="72" w:name="_Toc7231"/>
    <w:bookmarkStart w:id="73" w:name="_Toc15174"/>
    <w:p w14:paraId="38A57B33">
      <w:pPr>
        <w:pStyle w:val="style2"/>
        <w:spacing w:lineRule="exact" w:line="560"/>
        <w:rPr>
          <w:rFonts w:hint="default"/>
          <w:sz w:val="32"/>
        </w:rPr>
      </w:pPr>
      <w:r>
        <w:rPr>
          <w:sz w:val="32"/>
        </w:rPr>
        <w:t>4.3环境准入清单</w:t>
      </w:r>
      <w:bookmarkEnd w:id="72"/>
      <w:bookmarkEnd w:id="73"/>
    </w:p>
    <w:p w14:paraId="3F7417B7">
      <w:pPr>
        <w:pStyle w:val="style0"/>
        <w:spacing w:lineRule="exact" w:line="560"/>
        <w:ind w:firstLine="640"/>
        <w:rPr>
          <w:sz w:val="32"/>
        </w:rPr>
      </w:pPr>
      <w:r>
        <w:rPr>
          <w:rFonts w:hint="eastAsia"/>
          <w:sz w:val="32"/>
        </w:rPr>
        <w:t>根据《关于规划环境影响评价加强空间管制、总量管控和环境准入的指导意见（试行）》（环办环评〔2016〕14号）、《关于以改善环境质量为核心加强环境影响评价管理的通知》（环环评〔2016〕150号）等文件精神结合《江苏省“三线一单”生态环境分区管控方案》（苏政发〔2020〕49号），本次规划的灌云县临港产业区化工产业园（扩区部分）属于“重点管控单元”，已提出“三线一单”环境管理对策。</w:t>
      </w:r>
    </w:p>
    <w:bookmarkStart w:id="74" w:name="_Toc22708"/>
    <w:bookmarkStart w:id="75" w:name="_Toc27152"/>
    <w:p w14:paraId="63BE9D32">
      <w:pPr>
        <w:pStyle w:val="style2"/>
        <w:spacing w:lineRule="exact" w:line="560"/>
        <w:rPr>
          <w:rFonts w:hint="default"/>
          <w:sz w:val="32"/>
        </w:rPr>
      </w:pPr>
      <w:r>
        <w:rPr>
          <w:sz w:val="32"/>
        </w:rPr>
        <w:t>4.4区域环境影响</w:t>
      </w:r>
      <w:bookmarkEnd w:id="66"/>
      <w:bookmarkEnd w:id="74"/>
      <w:bookmarkEnd w:id="75"/>
    </w:p>
    <w:bookmarkStart w:id="76" w:name="_Toc154305148"/>
    <w:bookmarkStart w:id="77" w:name="_Toc154498699"/>
    <w:bookmarkStart w:id="78" w:name="_Toc11676"/>
    <w:bookmarkStart w:id="79" w:name="_Toc19298"/>
    <w:bookmarkStart w:id="80" w:name="_Toc154304786"/>
    <w:bookmarkStart w:id="81" w:name="_Toc151116614"/>
    <w:bookmarkStart w:id="82" w:name="_Toc154305149"/>
    <w:bookmarkStart w:id="83" w:name="_Toc154498700"/>
    <w:bookmarkStart w:id="84" w:name="_Toc1026"/>
    <w:bookmarkStart w:id="85" w:name="_Toc151116615"/>
    <w:bookmarkStart w:id="86" w:name="_Toc32289"/>
    <w:bookmarkStart w:id="87" w:name="_Toc154304787"/>
    <w:p w14:paraId="22A17F93">
      <w:pPr>
        <w:pStyle w:val="style0"/>
        <w:spacing w:lineRule="exact" w:line="560"/>
        <w:ind w:firstLine="643"/>
        <w:rPr>
          <w:b/>
          <w:bCs/>
          <w:sz w:val="32"/>
        </w:rPr>
      </w:pPr>
      <w:r>
        <w:rPr>
          <w:rFonts w:hint="eastAsia"/>
          <w:b/>
          <w:bCs/>
          <w:sz w:val="32"/>
        </w:rPr>
        <w:t>1、</w:t>
      </w:r>
      <w:r>
        <w:rPr>
          <w:b/>
          <w:bCs/>
          <w:sz w:val="32"/>
        </w:rPr>
        <w:t>园区环境质量现状</w:t>
      </w:r>
      <w:bookmarkEnd w:id="76"/>
      <w:bookmarkEnd w:id="77"/>
      <w:bookmarkEnd w:id="78"/>
      <w:bookmarkEnd w:id="79"/>
      <w:bookmarkEnd w:id="80"/>
      <w:bookmarkEnd w:id="81"/>
    </w:p>
    <w:p w14:paraId="28A80046">
      <w:pPr>
        <w:pStyle w:val="style0"/>
        <w:spacing w:lineRule="exact" w:line="560"/>
        <w:ind w:firstLine="640"/>
        <w:rPr>
          <w:sz w:val="32"/>
        </w:rPr>
      </w:pPr>
      <w:r>
        <w:rPr>
          <w:rFonts w:hint="eastAsia"/>
          <w:sz w:val="32"/>
        </w:rPr>
        <w:t>环境现状数据参考灌云县2024年生态环境质量状况公报，以及《灌云县临港产业区化工产业园总体发展规划（2021—2030）环境影响报告书》。</w:t>
      </w:r>
    </w:p>
    <w:p w14:paraId="501F370D">
      <w:pPr>
        <w:pStyle w:val="style0"/>
        <w:spacing w:lineRule="exact" w:line="560"/>
        <w:ind w:firstLine="643"/>
        <w:rPr>
          <w:b/>
          <w:bCs/>
          <w:sz w:val="32"/>
        </w:rPr>
      </w:pPr>
      <w:r>
        <w:rPr>
          <w:rFonts w:hint="eastAsia"/>
          <w:b/>
          <w:bCs/>
          <w:sz w:val="32"/>
        </w:rPr>
        <w:t>（1）大气环境</w:t>
      </w:r>
    </w:p>
    <w:p w14:paraId="588FBB59">
      <w:pPr>
        <w:pStyle w:val="style0"/>
        <w:spacing w:lineRule="exact" w:line="560"/>
        <w:ind w:firstLine="640"/>
        <w:rPr>
          <w:sz w:val="32"/>
        </w:rPr>
      </w:pPr>
      <w:r>
        <w:rPr>
          <w:rFonts w:hint="eastAsia"/>
          <w:sz w:val="32"/>
        </w:rPr>
        <w:t>根据灌云县2024年生态环境质量状况公报，灌云县</w:t>
      </w:r>
      <w:r>
        <w:rPr>
          <w:sz w:val="32"/>
        </w:rPr>
        <w:t>2024年PM</w:t>
      </w:r>
      <w:r>
        <w:rPr>
          <w:sz w:val="32"/>
          <w:vertAlign w:val="subscript"/>
        </w:rPr>
        <w:t>2.5</w:t>
      </w:r>
      <w:r>
        <w:rPr>
          <w:sz w:val="32"/>
        </w:rPr>
        <w:t>浓度为34.9微克/立方米，同比下降3.6%；空气优良率为81.4%，同比上升3.9个百分点</w:t>
      </w:r>
      <w:r>
        <w:rPr>
          <w:rFonts w:hint="eastAsia"/>
          <w:sz w:val="32"/>
        </w:rPr>
        <w:t>。</w:t>
      </w:r>
    </w:p>
    <w:p w14:paraId="1D132611">
      <w:pPr>
        <w:pStyle w:val="style0"/>
        <w:spacing w:lineRule="exact" w:line="560"/>
        <w:ind w:firstLine="640"/>
        <w:rPr>
          <w:sz w:val="32"/>
        </w:rPr>
      </w:pPr>
      <w:r>
        <w:rPr>
          <w:rFonts w:hint="eastAsia"/>
          <w:sz w:val="32"/>
        </w:rPr>
        <w:t>根据《环境影响报告书》对“灌西盐场”点位的监测情况，</w:t>
      </w:r>
      <w:r>
        <w:rPr>
          <w:sz w:val="32"/>
        </w:rPr>
        <w:t>氨、硫化氢、氯化氢、氯气、氟化物、苯、甲苯、甲醇、臭气浓度、非甲烷总烃、VOCs、</w:t>
      </w:r>
      <w:r>
        <w:rPr>
          <w:rFonts w:hint="eastAsia"/>
          <w:sz w:val="32"/>
        </w:rPr>
        <w:t>二甲苯等大气指标均达标或未检查。</w:t>
      </w:r>
    </w:p>
    <w:p w14:paraId="02A820C3">
      <w:pPr>
        <w:pStyle w:val="style0"/>
        <w:spacing w:lineRule="exact" w:line="560"/>
        <w:ind w:firstLine="643"/>
        <w:rPr>
          <w:b/>
          <w:bCs/>
          <w:sz w:val="32"/>
        </w:rPr>
      </w:pPr>
      <w:r>
        <w:rPr>
          <w:rFonts w:hint="eastAsia"/>
          <w:b/>
          <w:bCs/>
          <w:sz w:val="32"/>
        </w:rPr>
        <w:t>（2）地表水环境</w:t>
      </w:r>
    </w:p>
    <w:p w14:paraId="06FD905E">
      <w:pPr>
        <w:pStyle w:val="style0"/>
        <w:spacing w:lineRule="exact" w:line="560"/>
        <w:ind w:firstLine="640"/>
        <w:rPr>
          <w:sz w:val="32"/>
        </w:rPr>
      </w:pPr>
      <w:r>
        <w:rPr>
          <w:rFonts w:hint="eastAsia"/>
          <w:sz w:val="32"/>
        </w:rPr>
        <w:t>根据灌云县2024年生态环境质量状况公报，</w:t>
      </w:r>
      <w:r>
        <w:rPr>
          <w:sz w:val="32"/>
        </w:rPr>
        <w:t>古泊善后河善后河闸、车轴河四队桥、新沂河北泓桥、盐河新华路桥、东门五图河小南沟桥、五灌河燕尾闸六个国省考断面平均水质均达到Ⅲ类，国省考断面优Ⅲ比例连续四年为100%，全市排名第一。叮当河饮用水源地、伊云湖应急水源地单月水质均达到Ⅲ类水考核目标要求。</w:t>
      </w:r>
    </w:p>
    <w:p w14:paraId="48980A1E">
      <w:pPr>
        <w:pStyle w:val="style0"/>
        <w:spacing w:lineRule="exact" w:line="560"/>
        <w:ind w:firstLine="640"/>
        <w:rPr>
          <w:sz w:val="32"/>
        </w:rPr>
      </w:pPr>
      <w:r>
        <w:rPr>
          <w:rFonts w:hint="eastAsia"/>
          <w:sz w:val="32"/>
        </w:rPr>
        <w:t>根据《环境影响报告书》监测结果，除COD、BOD</w:t>
      </w:r>
      <w:r>
        <w:rPr>
          <w:rFonts w:hint="eastAsia"/>
          <w:sz w:val="32"/>
          <w:vertAlign w:val="subscript"/>
        </w:rPr>
        <w:t>5</w:t>
      </w:r>
      <w:r>
        <w:rPr>
          <w:rFonts w:hint="eastAsia"/>
          <w:sz w:val="32"/>
        </w:rPr>
        <w:t>、氯化物外，其他各监测因子能满足《地表水环境质量标准》中的相关标准要求。</w:t>
      </w:r>
    </w:p>
    <w:p w14:paraId="0BC8F290">
      <w:pPr>
        <w:pStyle w:val="style0"/>
        <w:spacing w:lineRule="exact" w:line="560"/>
        <w:ind w:firstLine="643"/>
        <w:rPr>
          <w:sz w:val="32"/>
        </w:rPr>
      </w:pPr>
      <w:r>
        <w:rPr>
          <w:rFonts w:hint="eastAsia"/>
          <w:b/>
          <w:bCs/>
          <w:sz w:val="32"/>
        </w:rPr>
        <w:t>（3）地下水环境</w:t>
      </w:r>
    </w:p>
    <w:p w14:paraId="370E486B">
      <w:pPr>
        <w:pStyle w:val="style0"/>
        <w:spacing w:lineRule="exact" w:line="560"/>
        <w:ind w:firstLine="640"/>
        <w:rPr>
          <w:sz w:val="32"/>
        </w:rPr>
      </w:pPr>
      <w:r>
        <w:rPr>
          <w:rFonts w:hint="eastAsia"/>
          <w:sz w:val="32"/>
        </w:rPr>
        <w:t>根据《环境影响报告书》监测结果，氨氮、镉、钠、硫酸盐、氯化物、总硬度、溶解性总固体、高锰酸盐指数为V类，其他因子属于I~IV类。园区现状条件下地下水环境质量总体较差，地下水水质主要受原生环境影响，该地区靠近黄海，受海水入侵影响，区域浅层地下水几乎为咸水，矿化度较高，含盐量较大，表现为氯化物、总硬度、钠、溶解性总固体指标较高。</w:t>
      </w:r>
    </w:p>
    <w:p w14:paraId="39FCFD00">
      <w:pPr>
        <w:pStyle w:val="style0"/>
        <w:spacing w:lineRule="exact" w:line="560"/>
        <w:ind w:firstLine="643"/>
        <w:rPr>
          <w:b/>
          <w:bCs/>
          <w:sz w:val="32"/>
        </w:rPr>
      </w:pPr>
      <w:r>
        <w:rPr>
          <w:rFonts w:hint="eastAsia"/>
          <w:b/>
          <w:bCs/>
          <w:sz w:val="32"/>
        </w:rPr>
        <w:t>（4）声环境</w:t>
      </w:r>
    </w:p>
    <w:p w14:paraId="3982B175">
      <w:pPr>
        <w:pStyle w:val="style0"/>
        <w:spacing w:lineRule="exact" w:line="560"/>
        <w:ind w:firstLine="640"/>
        <w:rPr>
          <w:sz w:val="32"/>
        </w:rPr>
      </w:pPr>
      <w:r>
        <w:rPr>
          <w:rFonts w:hint="eastAsia"/>
          <w:sz w:val="32"/>
        </w:rPr>
        <w:t>根据灌云县2024年生态环境质量状况公报，灌云县区域环境噪声基本稳定。功能区环境噪声达到标准，道路昼间平均等效声级达到一级标准，城区区域环境噪声昼间平均等效声级为三级。</w:t>
      </w:r>
    </w:p>
    <w:p w14:paraId="65DEA1C7">
      <w:pPr>
        <w:pStyle w:val="style0"/>
        <w:spacing w:lineRule="exact" w:line="560"/>
        <w:ind w:firstLine="640"/>
        <w:rPr>
          <w:sz w:val="32"/>
        </w:rPr>
      </w:pPr>
      <w:r>
        <w:rPr>
          <w:rFonts w:hint="eastAsia"/>
          <w:sz w:val="32"/>
        </w:rPr>
        <w:t>根据《环境影响报告书》监测结果，各声环境质量测点昼间、夜间均符合《声环境质量标准》（GB3096-2008）中的3类标准的要求，区域声环境状况较好。</w:t>
      </w:r>
    </w:p>
    <w:p w14:paraId="28F14C0D">
      <w:pPr>
        <w:pStyle w:val="style0"/>
        <w:spacing w:lineRule="exact" w:line="560"/>
        <w:ind w:firstLine="643"/>
        <w:rPr>
          <w:sz w:val="32"/>
        </w:rPr>
      </w:pPr>
      <w:r>
        <w:rPr>
          <w:rFonts w:hint="eastAsia"/>
          <w:b/>
          <w:bCs/>
          <w:sz w:val="32"/>
        </w:rPr>
        <w:t>（5）土壤环境</w:t>
      </w:r>
    </w:p>
    <w:p w14:paraId="4BFF52C2">
      <w:pPr>
        <w:pStyle w:val="style0"/>
        <w:spacing w:lineRule="exact" w:line="560"/>
        <w:ind w:firstLine="640"/>
        <w:rPr>
          <w:sz w:val="32"/>
        </w:rPr>
      </w:pPr>
      <w:r>
        <w:rPr>
          <w:rFonts w:hint="eastAsia"/>
          <w:sz w:val="32"/>
        </w:rPr>
        <w:t>根据灌云县2024年生态环境质量状况公报，县域土壤环境质量保持良好。</w:t>
      </w:r>
    </w:p>
    <w:p w14:paraId="1D16B39F">
      <w:pPr>
        <w:pStyle w:val="style0"/>
        <w:spacing w:lineRule="exact" w:line="560"/>
        <w:ind w:firstLine="640"/>
        <w:rPr>
          <w:sz w:val="32"/>
        </w:rPr>
      </w:pPr>
      <w:r>
        <w:rPr>
          <w:rFonts w:hint="eastAsia"/>
          <w:sz w:val="32"/>
        </w:rPr>
        <w:t>根据《环境影响报告书》监测结果，各监测点所测各项指标均可以满足《土壤环境质量建设用地土壤污染风险管控标准（试行）》（GB36600-2018）筛选值第二类标准要求，总铬满足《土壤环境质量农用地土壤污染风险管控标准》（GB15618-2018）。说明总体土壤环境质量现状良好，能够达到环境质量标准要求。</w:t>
      </w:r>
    </w:p>
    <w:p w14:paraId="0AF597C2">
      <w:pPr>
        <w:pStyle w:val="style0"/>
        <w:spacing w:lineRule="exact" w:line="560"/>
        <w:ind w:firstLine="643"/>
        <w:rPr>
          <w:b/>
          <w:bCs/>
          <w:sz w:val="32"/>
        </w:rPr>
      </w:pPr>
      <w:r>
        <w:rPr>
          <w:rFonts w:hint="eastAsia"/>
          <w:b/>
          <w:bCs/>
          <w:sz w:val="32"/>
        </w:rPr>
        <w:t>（6）海洋环境</w:t>
      </w:r>
    </w:p>
    <w:p w14:paraId="0ACB9B69">
      <w:pPr>
        <w:pStyle w:val="style0"/>
        <w:spacing w:lineRule="exact" w:line="560"/>
        <w:ind w:firstLine="640"/>
        <w:rPr>
          <w:sz w:val="32"/>
        </w:rPr>
      </w:pPr>
      <w:r>
        <w:rPr>
          <w:rFonts w:hint="eastAsia"/>
          <w:sz w:val="32"/>
        </w:rPr>
        <w:t>根据灌云县2024年生态环境质量状况公报，灌云县2024年海洋监测点位水质较好。JSH07006、JSH07007、JSH07013、JSH07015、JSH07016、JSH07019六个点位均达到一类、二类海水，JSH07014点位均值为三类海水，近岸海域考核点位水质优良率为84.7%。</w:t>
      </w:r>
    </w:p>
    <w:p w14:paraId="4015CBE2">
      <w:pPr>
        <w:pStyle w:val="style0"/>
        <w:spacing w:lineRule="exact" w:line="560"/>
        <w:ind w:firstLine="643"/>
        <w:rPr>
          <w:b/>
          <w:bCs/>
          <w:sz w:val="32"/>
        </w:rPr>
      </w:pPr>
      <w:r>
        <w:rPr>
          <w:rFonts w:hint="eastAsia"/>
          <w:b/>
          <w:bCs/>
          <w:sz w:val="32"/>
        </w:rPr>
        <w:t>2、</w:t>
      </w:r>
      <w:r>
        <w:rPr>
          <w:b/>
          <w:bCs/>
          <w:sz w:val="32"/>
        </w:rPr>
        <w:t>规划项目污染物排放总量</w:t>
      </w:r>
      <w:bookmarkEnd w:id="82"/>
      <w:bookmarkEnd w:id="83"/>
      <w:bookmarkEnd w:id="84"/>
      <w:bookmarkEnd w:id="85"/>
      <w:bookmarkEnd w:id="86"/>
      <w:bookmarkEnd w:id="87"/>
    </w:p>
    <w:p w14:paraId="1F3B748C">
      <w:pPr>
        <w:pStyle w:val="style0"/>
        <w:spacing w:lineRule="exact" w:line="560"/>
        <w:ind w:firstLine="640"/>
        <w:rPr>
          <w:sz w:val="32"/>
        </w:rPr>
      </w:pPr>
      <w:r>
        <w:rPr>
          <w:sz w:val="32"/>
        </w:rPr>
        <w:t>根据基础资料，类比同类项目，预估</w:t>
      </w:r>
      <w:r>
        <w:rPr>
          <w:rFonts w:hint="eastAsia"/>
          <w:sz w:val="32"/>
        </w:rPr>
        <w:t>化工产业园（扩区部分）</w:t>
      </w:r>
      <w:r>
        <w:rPr>
          <w:sz w:val="32"/>
        </w:rPr>
        <w:t>在建及拟建项目新增主要污染物排放量。其中废气主要污染物：颗粒物（</w:t>
      </w:r>
      <w:r>
        <w:rPr>
          <w:rFonts w:hint="eastAsia"/>
          <w:sz w:val="32"/>
        </w:rPr>
        <w:t>530.556</w:t>
      </w:r>
      <w:r>
        <w:rPr>
          <w:sz w:val="32"/>
        </w:rPr>
        <w:t>）t/a，SO</w:t>
      </w:r>
      <w:r>
        <w:rPr>
          <w:sz w:val="32"/>
          <w:vertAlign w:val="subscript"/>
        </w:rPr>
        <w:t>2</w:t>
      </w:r>
      <w:r>
        <w:rPr>
          <w:sz w:val="32"/>
        </w:rPr>
        <w:t>（</w:t>
      </w:r>
      <w:r>
        <w:rPr>
          <w:rFonts w:hint="eastAsia"/>
          <w:sz w:val="32"/>
        </w:rPr>
        <w:t>1084.56</w:t>
      </w:r>
      <w:r>
        <w:rPr>
          <w:sz w:val="32"/>
        </w:rPr>
        <w:t>）t/a，NOx（</w:t>
      </w:r>
      <w:r>
        <w:rPr>
          <w:rFonts w:hint="eastAsia"/>
          <w:sz w:val="32"/>
        </w:rPr>
        <w:t>2992.428</w:t>
      </w:r>
      <w:r>
        <w:rPr>
          <w:sz w:val="32"/>
        </w:rPr>
        <w:t>）t/a，VOCs（</w:t>
      </w:r>
      <w:r>
        <w:rPr>
          <w:rFonts w:hint="eastAsia"/>
          <w:sz w:val="32"/>
        </w:rPr>
        <w:t>2877.588</w:t>
      </w:r>
      <w:r>
        <w:rPr>
          <w:sz w:val="32"/>
        </w:rPr>
        <w:t>）t/a；废水污染物：废水量（</w:t>
      </w:r>
      <w:r>
        <w:rPr>
          <w:rFonts w:hint="eastAsia"/>
          <w:sz w:val="32"/>
        </w:rPr>
        <w:t>364.172</w:t>
      </w:r>
      <w:r>
        <w:rPr>
          <w:sz w:val="32"/>
        </w:rPr>
        <w:t>）万t/a，COD</w:t>
      </w:r>
      <w:r>
        <w:rPr>
          <w:rFonts w:hint="eastAsia"/>
          <w:sz w:val="32"/>
        </w:rPr>
        <w:t>（133.032）</w:t>
      </w:r>
      <w:r>
        <w:rPr>
          <w:sz w:val="32"/>
        </w:rPr>
        <w:t>t/a，NH</w:t>
      </w:r>
      <w:r>
        <w:rPr>
          <w:sz w:val="32"/>
          <w:vertAlign w:val="subscript"/>
        </w:rPr>
        <w:t>3</w:t>
      </w:r>
      <w:r>
        <w:rPr>
          <w:sz w:val="32"/>
        </w:rPr>
        <w:t>-N（</w:t>
      </w:r>
      <w:r>
        <w:rPr>
          <w:rFonts w:hint="eastAsia"/>
          <w:sz w:val="32"/>
        </w:rPr>
        <w:t>5.94</w:t>
      </w:r>
      <w:r>
        <w:rPr>
          <w:sz w:val="32"/>
        </w:rPr>
        <w:t>）t/a，TN（</w:t>
      </w:r>
      <w:r>
        <w:rPr>
          <w:rFonts w:hint="eastAsia"/>
          <w:sz w:val="32"/>
        </w:rPr>
        <w:t>17.832</w:t>
      </w:r>
      <w:r>
        <w:rPr>
          <w:sz w:val="32"/>
        </w:rPr>
        <w:t>）t/a</w:t>
      </w:r>
      <w:r>
        <w:rPr>
          <w:rFonts w:hint="eastAsia"/>
          <w:sz w:val="32"/>
        </w:rPr>
        <w:t>，超过现有指标部分将向省环保部门进行申领。</w:t>
      </w:r>
    </w:p>
    <w:bookmarkStart w:id="88" w:name="_Toc154304788"/>
    <w:bookmarkStart w:id="89" w:name="_Toc154498701"/>
    <w:bookmarkStart w:id="90" w:name="_Toc18135"/>
    <w:bookmarkStart w:id="91" w:name="_Toc29457"/>
    <w:bookmarkStart w:id="92" w:name="_Toc154305150"/>
    <w:p w14:paraId="46F2D15C">
      <w:pPr>
        <w:pStyle w:val="style0"/>
        <w:spacing w:lineRule="exact" w:line="560"/>
        <w:ind w:firstLine="643"/>
        <w:rPr>
          <w:b/>
          <w:bCs/>
          <w:sz w:val="32"/>
        </w:rPr>
      </w:pPr>
      <w:r>
        <w:rPr>
          <w:rFonts w:hint="eastAsia"/>
          <w:b/>
          <w:bCs/>
          <w:sz w:val="32"/>
        </w:rPr>
        <w:t>3、</w:t>
      </w:r>
      <w:r>
        <w:rPr>
          <w:b/>
          <w:bCs/>
          <w:sz w:val="32"/>
        </w:rPr>
        <w:t>污染治理规划</w:t>
      </w:r>
      <w:bookmarkEnd w:id="88"/>
      <w:bookmarkEnd w:id="89"/>
      <w:bookmarkEnd w:id="90"/>
      <w:bookmarkEnd w:id="91"/>
      <w:bookmarkEnd w:id="92"/>
    </w:p>
    <w:p w14:paraId="6C56A098">
      <w:pPr>
        <w:pStyle w:val="style0"/>
        <w:spacing w:lineRule="exact" w:line="560"/>
        <w:ind w:firstLine="640"/>
        <w:rPr>
          <w:sz w:val="32"/>
        </w:rPr>
      </w:pPr>
      <w:r>
        <w:rPr>
          <w:sz w:val="32"/>
        </w:rPr>
        <w:t>统筹产业发展和生态环境保护的关系，注重污染防治与产业建设同步提升，走以生态优先、绿色发展为导向的高质量发展道路，着力打造生态型绿色产业园区。</w:t>
      </w:r>
    </w:p>
    <w:bookmarkStart w:id="93" w:name="_Toc1524"/>
    <w:p w14:paraId="525BCFD1">
      <w:pPr>
        <w:pStyle w:val="style0"/>
        <w:spacing w:lineRule="exact" w:line="560"/>
        <w:ind w:firstLine="643"/>
        <w:rPr>
          <w:b/>
          <w:bCs/>
          <w:sz w:val="32"/>
        </w:rPr>
      </w:pPr>
      <w:r>
        <w:rPr>
          <w:rFonts w:hint="eastAsia"/>
          <w:b/>
          <w:bCs/>
          <w:sz w:val="32"/>
        </w:rPr>
        <w:t>4、清洁生产水平评估</w:t>
      </w:r>
      <w:bookmarkEnd w:id="93"/>
    </w:p>
    <w:p w14:paraId="274074A5">
      <w:pPr>
        <w:pStyle w:val="style0"/>
        <w:spacing w:lineRule="exact" w:line="560"/>
        <w:ind w:firstLine="640"/>
        <w:rPr>
          <w:sz w:val="32"/>
        </w:rPr>
      </w:pPr>
      <w:r>
        <w:rPr>
          <w:rFonts w:hint="eastAsia"/>
          <w:sz w:val="32"/>
        </w:rPr>
        <w:t>园区督促各进区企业提高清洁生产水平，鼓励其进行清洁生产审核。根据清洁生产审核报告以及现场调研情况可知，目前，园区内已建企业清洁生产水平整体较好，清洁生产水平均达到了国内先进水平。</w:t>
      </w:r>
    </w:p>
    <w:bookmarkStart w:id="94" w:name="_Toc23316"/>
    <w:bookmarkStart w:id="95" w:name="_Toc27277"/>
    <w:p w14:paraId="6EC7B11C">
      <w:pPr>
        <w:pStyle w:val="style0"/>
        <w:spacing w:lineRule="exact" w:line="560"/>
        <w:ind w:firstLine="643"/>
        <w:rPr>
          <w:b/>
          <w:bCs/>
          <w:sz w:val="32"/>
        </w:rPr>
      </w:pPr>
      <w:r>
        <w:rPr>
          <w:rFonts w:hint="eastAsia"/>
          <w:b/>
          <w:bCs/>
          <w:sz w:val="32"/>
        </w:rPr>
        <w:t>5、</w:t>
      </w:r>
      <w:r>
        <w:rPr>
          <w:b/>
          <w:bCs/>
          <w:sz w:val="32"/>
        </w:rPr>
        <w:t>环境管理体系建设</w:t>
      </w:r>
      <w:bookmarkEnd w:id="94"/>
      <w:bookmarkEnd w:id="95"/>
    </w:p>
    <w:p w14:paraId="7DE270D6">
      <w:pPr>
        <w:pStyle w:val="style0"/>
        <w:spacing w:lineRule="exact" w:line="560"/>
        <w:ind w:firstLine="640"/>
        <w:rPr>
          <w:sz w:val="32"/>
        </w:rPr>
      </w:pPr>
      <w:r>
        <w:rPr>
          <w:rFonts w:ascii="宋体" w:hAnsi="宋体" w:hint="eastAsia"/>
          <w:sz w:val="32"/>
        </w:rPr>
        <w:t>园区环境管理的目标是在严格准入源头管控、分类施策精准治理、问题导向系统推进、激励约束机制并重的原则基础上，提高引进企业生产技术水平，加强对企业环境管理，降低污染风险和减少污染排放，推动园区绿色低碳高质量发展。重点是监督区内企业履行相关环保手续并加强环境信息公开，减少区内企业污染物排放，完善区内环境风险防控体系，防范环境风险事故，最大程度地减少园区对周边及区域生态环境的影响，实现社会、经济、环境效益的相统一。</w:t>
      </w:r>
    </w:p>
    <w:bookmarkStart w:id="96" w:name="_Toc19936"/>
    <w:p w14:paraId="730FB0B5">
      <w:pPr>
        <w:pStyle w:val="style0"/>
        <w:spacing w:lineRule="exact" w:line="560"/>
        <w:ind w:firstLine="643"/>
        <w:rPr>
          <w:b/>
          <w:bCs/>
          <w:sz w:val="32"/>
        </w:rPr>
      </w:pPr>
      <w:r>
        <w:rPr>
          <w:rFonts w:hint="eastAsia"/>
          <w:b/>
          <w:bCs/>
          <w:sz w:val="32"/>
        </w:rPr>
        <w:t>6、资源节约与碳减排</w:t>
      </w:r>
      <w:bookmarkEnd w:id="96"/>
    </w:p>
    <w:p w14:paraId="3BFB1068">
      <w:pPr>
        <w:pStyle w:val="style0"/>
        <w:spacing w:lineRule="exact" w:line="560"/>
        <w:ind w:firstLine="640"/>
        <w:rPr>
          <w:sz w:val="32"/>
        </w:rPr>
      </w:pPr>
      <w:r>
        <w:rPr>
          <w:rFonts w:hint="eastAsia"/>
          <w:sz w:val="32"/>
        </w:rPr>
        <w:t>①坚持绿色低碳发展，协同推进减污降碳</w:t>
      </w:r>
    </w:p>
    <w:p w14:paraId="29B13AFA">
      <w:pPr>
        <w:pStyle w:val="style0"/>
        <w:spacing w:lineRule="exact" w:line="560"/>
        <w:ind w:firstLine="640"/>
        <w:rPr>
          <w:sz w:val="32"/>
        </w:rPr>
      </w:pPr>
      <w:r>
        <w:rPr>
          <w:rFonts w:hint="eastAsia"/>
          <w:sz w:val="32"/>
        </w:rPr>
        <w:t>②优化调整产业结构，推动绿色低碳转型发展</w:t>
      </w:r>
    </w:p>
    <w:p w14:paraId="0F305074">
      <w:pPr>
        <w:pStyle w:val="style0"/>
        <w:spacing w:lineRule="exact" w:line="560"/>
        <w:ind w:firstLine="640"/>
        <w:rPr>
          <w:sz w:val="32"/>
        </w:rPr>
      </w:pPr>
      <w:r>
        <w:rPr>
          <w:rFonts w:hint="eastAsia"/>
          <w:sz w:val="32"/>
        </w:rPr>
        <w:t>③推动源头削减、生产全过程控制和提升资源、能源的利用率</w:t>
      </w:r>
    </w:p>
    <w:p w14:paraId="4B8B3E7E">
      <w:pPr>
        <w:pStyle w:val="style0"/>
        <w:spacing w:lineRule="exact" w:line="560"/>
        <w:ind w:firstLine="640"/>
        <w:rPr>
          <w:sz w:val="32"/>
        </w:rPr>
      </w:pPr>
      <w:r>
        <w:rPr>
          <w:rFonts w:hint="eastAsia"/>
          <w:sz w:val="32"/>
        </w:rPr>
        <w:t>④加强园区智慧化建设，提升能源消耗和环境治理的精细化管理水平</w:t>
      </w:r>
    </w:p>
    <w:p w14:paraId="37E94523">
      <w:pPr>
        <w:pStyle w:val="style0"/>
        <w:spacing w:lineRule="exact" w:line="560"/>
        <w:ind w:firstLine="640"/>
        <w:rPr>
          <w:sz w:val="32"/>
        </w:rPr>
      </w:pPr>
      <w:r>
        <w:rPr>
          <w:rFonts w:hint="eastAsia"/>
          <w:sz w:val="32"/>
        </w:rPr>
        <w:t>⑤探索二氧化碳综合利用</w:t>
      </w:r>
    </w:p>
    <w:bookmarkStart w:id="97" w:name="_Toc22694"/>
    <w:bookmarkStart w:id="98" w:name="_Toc19392"/>
    <w:bookmarkStart w:id="99" w:name="_Toc32425"/>
    <w:bookmarkEnd w:id="67"/>
    <w:p w14:paraId="0B0E0FA2">
      <w:pPr>
        <w:pStyle w:val="style2"/>
        <w:spacing w:lineRule="exact" w:line="560"/>
        <w:rPr>
          <w:rFonts w:hint="default"/>
          <w:sz w:val="32"/>
        </w:rPr>
      </w:pPr>
      <w:r>
        <w:rPr>
          <w:sz w:val="32"/>
        </w:rPr>
        <w:t>4.5整体性安全风险</w:t>
      </w:r>
      <w:bookmarkEnd w:id="97"/>
      <w:bookmarkEnd w:id="98"/>
      <w:bookmarkEnd w:id="99"/>
    </w:p>
    <w:bookmarkStart w:id="100" w:name="_Toc26437"/>
    <w:bookmarkStart w:id="101" w:name="_Toc2310"/>
    <w:p w14:paraId="357A6B01">
      <w:pPr>
        <w:pStyle w:val="style0"/>
        <w:spacing w:lineRule="exact" w:line="560"/>
        <w:ind w:firstLine="643"/>
        <w:rPr>
          <w:b/>
          <w:bCs/>
          <w:sz w:val="32"/>
        </w:rPr>
      </w:pPr>
      <w:r>
        <w:rPr>
          <w:rFonts w:hint="eastAsia"/>
          <w:b/>
          <w:bCs/>
          <w:sz w:val="32"/>
        </w:rPr>
        <w:t>1、安全生产</w:t>
      </w:r>
      <w:bookmarkEnd w:id="100"/>
      <w:r>
        <w:rPr>
          <w:rFonts w:hint="eastAsia"/>
          <w:b/>
          <w:bCs/>
          <w:sz w:val="32"/>
        </w:rPr>
        <w:t>风险</w:t>
      </w:r>
      <w:bookmarkEnd w:id="101"/>
    </w:p>
    <w:p w14:paraId="3467E533">
      <w:pPr>
        <w:pStyle w:val="style0"/>
        <w:spacing w:lineRule="exact" w:line="560"/>
        <w:ind w:firstLine="640"/>
        <w:rPr>
          <w:sz w:val="32"/>
        </w:rPr>
      </w:pPr>
      <w:r>
        <w:rPr>
          <w:rFonts w:hint="eastAsia"/>
          <w:sz w:val="32"/>
        </w:rPr>
        <w:t>化工产业园（扩区部分）</w:t>
      </w:r>
      <w:r>
        <w:rPr>
          <w:sz w:val="32"/>
        </w:rPr>
        <w:t>个人</w:t>
      </w:r>
      <w:r>
        <w:rPr>
          <w:rFonts w:hint="eastAsia"/>
          <w:sz w:val="32"/>
        </w:rPr>
        <w:t>风险</w:t>
      </w:r>
      <w:r>
        <w:rPr>
          <w:sz w:val="32"/>
        </w:rPr>
        <w:t>与社会风险</w:t>
      </w:r>
      <w:r>
        <w:rPr>
          <w:rFonts w:hint="eastAsia"/>
          <w:sz w:val="32"/>
        </w:rPr>
        <w:t>均处于</w:t>
      </w:r>
      <w:r>
        <w:rPr>
          <w:sz w:val="32"/>
        </w:rPr>
        <w:t>可接受范围内，</w:t>
      </w:r>
      <w:r>
        <w:rPr>
          <w:rFonts w:hint="eastAsia"/>
          <w:sz w:val="32"/>
        </w:rPr>
        <w:t>是</w:t>
      </w:r>
      <w:r>
        <w:rPr>
          <w:sz w:val="32"/>
        </w:rPr>
        <w:t>符合现行国家标准规范要求的</w:t>
      </w:r>
      <w:r>
        <w:rPr>
          <w:rFonts w:hint="eastAsia"/>
          <w:sz w:val="32"/>
        </w:rPr>
        <w:t>。</w:t>
      </w:r>
    </w:p>
    <w:p w14:paraId="10D09538">
      <w:pPr>
        <w:pStyle w:val="style0"/>
        <w:spacing w:lineRule="exact" w:line="560"/>
        <w:ind w:firstLine="640"/>
        <w:rPr>
          <w:sz w:val="32"/>
        </w:rPr>
      </w:pPr>
      <w:r>
        <w:rPr>
          <w:rFonts w:hint="eastAsia"/>
          <w:sz w:val="32"/>
        </w:rPr>
        <w:t>化工产业园（扩区部分）区域及周边500m范围内，现有连云港北欧农庄生猪养殖有限公司（非劳动密集型企业）、连云港丹育种猪技术有限公司（非劳动密集型企业）、江苏天成集团水产养殖基地（非劳动密集型企业）、盐田等，未来将根据招商计划对现有企业进行逐步清退。扩区范围内无居民入住。</w:t>
      </w:r>
    </w:p>
    <w:p w14:paraId="2CF947F5">
      <w:pPr>
        <w:pStyle w:val="style0"/>
        <w:spacing w:lineRule="exact" w:line="560"/>
        <w:ind w:firstLine="640"/>
        <w:rPr>
          <w:sz w:val="32"/>
        </w:rPr>
      </w:pPr>
      <w:r>
        <w:rPr>
          <w:rFonts w:hint="eastAsia"/>
          <w:sz w:val="32"/>
        </w:rPr>
        <w:t>根据园区周边土地规划控制线确定结果，化工产业园（扩区部分）周边土地规划安全控制线图如下：</w:t>
      </w:r>
    </w:p>
    <w:p w14:paraId="724A47D6">
      <w:pPr>
        <w:pStyle w:val="style0"/>
        <w:spacing w:lineRule="auto" w:line="240"/>
        <w:ind w:firstLine="0" w:firstLineChars="0"/>
        <w:rPr>
          <w:sz w:val="32"/>
        </w:rPr>
      </w:pPr>
      <w:r>
        <w:rPr/>
        <w:drawing>
          <wp:inline distL="0" distT="0" distB="0" distR="0">
            <wp:extent cx="5269230" cy="2907665"/>
            <wp:effectExtent l="0" t="0" r="1270" b="635"/>
            <wp:docPr id="1032"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图片 1"/>
                    <pic:cNvPicPr/>
                  </pic:nvPicPr>
                  <pic:blipFill>
                    <a:blip r:embed="rId17" cstate="print"/>
                    <a:srcRect l="0" t="0" r="0" b="0"/>
                    <a:stretch/>
                  </pic:blipFill>
                  <pic:spPr>
                    <a:xfrm rot="0">
                      <a:off x="0" y="0"/>
                      <a:ext cx="5269230" cy="2907665"/>
                    </a:xfrm>
                    <a:prstGeom prst="rect"/>
                    <a:ln>
                      <a:noFill/>
                    </a:ln>
                  </pic:spPr>
                </pic:pic>
              </a:graphicData>
            </a:graphic>
          </wp:inline>
        </w:drawing>
      </w:r>
    </w:p>
    <w:bookmarkStart w:id="102" w:name="_Toc23639"/>
    <w:bookmarkStart w:id="103" w:name="_Toc154304793"/>
    <w:bookmarkStart w:id="104" w:name="_Toc154305155"/>
    <w:bookmarkStart w:id="105" w:name="_Toc154498706"/>
    <w:bookmarkStart w:id="106" w:name="_Toc151116580"/>
    <w:bookmarkStart w:id="107" w:name="_Toc1359"/>
    <w:p w14:paraId="26B2C1AC">
      <w:pPr>
        <w:pStyle w:val="style0"/>
        <w:spacing w:lineRule="exact" w:line="560"/>
        <w:ind w:firstLine="643"/>
        <w:jc w:val="center"/>
        <w:rPr>
          <w:sz w:val="32"/>
        </w:rPr>
      </w:pPr>
      <w:r>
        <w:rPr>
          <w:rFonts w:hint="eastAsia"/>
          <w:b/>
          <w:bCs/>
          <w:sz w:val="32"/>
        </w:rPr>
        <w:t>图</w:t>
      </w:r>
      <w:r>
        <w:rPr>
          <w:rFonts w:hint="eastAsia"/>
          <w:b/>
          <w:bCs/>
          <w:sz w:val="32"/>
          <w:lang w:val="en-US" w:eastAsia="zh-CN"/>
        </w:rPr>
        <w:t>4.5-1</w:t>
      </w:r>
      <w:r>
        <w:rPr>
          <w:rFonts w:hint="eastAsia"/>
          <w:b/>
          <w:bCs/>
          <w:sz w:val="32"/>
        </w:rPr>
        <w:t xml:space="preserve"> 园区周边土地安全控制线</w:t>
      </w:r>
    </w:p>
    <w:bookmarkStart w:id="108" w:name="_Toc24883"/>
    <w:p w14:paraId="32BCB0BD">
      <w:pPr>
        <w:pStyle w:val="style0"/>
        <w:spacing w:lineRule="exact" w:line="560"/>
        <w:ind w:firstLine="643"/>
        <w:rPr>
          <w:b/>
          <w:bCs/>
          <w:sz w:val="32"/>
        </w:rPr>
      </w:pPr>
      <w:r>
        <w:rPr>
          <w:rFonts w:hint="eastAsia"/>
          <w:b/>
          <w:bCs/>
          <w:sz w:val="32"/>
        </w:rPr>
        <w:t>2、</w:t>
      </w:r>
      <w:r>
        <w:rPr>
          <w:b/>
          <w:bCs/>
          <w:sz w:val="32"/>
        </w:rPr>
        <w:t>周边高敏感目标</w:t>
      </w:r>
      <w:bookmarkEnd w:id="102"/>
      <w:bookmarkEnd w:id="103"/>
      <w:bookmarkEnd w:id="104"/>
      <w:bookmarkEnd w:id="105"/>
      <w:bookmarkEnd w:id="106"/>
      <w:bookmarkEnd w:id="108"/>
    </w:p>
    <w:p w14:paraId="0BD5008E">
      <w:pPr>
        <w:pStyle w:val="style0"/>
        <w:spacing w:lineRule="exact" w:line="560"/>
        <w:ind w:firstLine="640"/>
        <w:rPr>
          <w:rFonts w:cs="Times New Roman"/>
          <w:sz w:val="32"/>
          <w:szCs w:val="28"/>
        </w:rPr>
      </w:pPr>
      <w:r>
        <w:rPr>
          <w:rFonts w:hint="eastAsia"/>
          <w:sz w:val="32"/>
        </w:rPr>
        <w:t>化工产业园（扩区部分）500</w:t>
      </w:r>
      <w:r>
        <w:rPr>
          <w:sz w:val="32"/>
        </w:rPr>
        <w:t>m范围内不存在高敏感防护目标、重要防护目标。</w:t>
      </w:r>
      <w:r>
        <w:rPr>
          <w:rFonts w:hint="eastAsia"/>
          <w:sz w:val="32"/>
        </w:rPr>
        <w:t>园区</w:t>
      </w:r>
      <w:r>
        <w:rPr>
          <w:rFonts w:cs="Times New Roman"/>
          <w:sz w:val="32"/>
          <w:szCs w:val="28"/>
        </w:rPr>
        <w:t>已经制定计划，拟设置环境保护隔离带，以满足</w:t>
      </w:r>
      <w:r>
        <w:rPr>
          <w:rFonts w:cs="Times New Roman" w:hint="eastAsia"/>
          <w:sz w:val="32"/>
          <w:szCs w:val="28"/>
        </w:rPr>
        <w:t>化工产业园（扩区部分）</w:t>
      </w:r>
      <w:r>
        <w:rPr>
          <w:rFonts w:cs="Times New Roman"/>
          <w:sz w:val="32"/>
          <w:szCs w:val="28"/>
        </w:rPr>
        <w:t>建设的基本要求。</w:t>
      </w:r>
    </w:p>
    <w:bookmarkStart w:id="109" w:name="_Toc5791"/>
    <w:bookmarkStart w:id="110" w:name="_Toc10953"/>
    <w:bookmarkStart w:id="111" w:name="_Toc24238"/>
    <w:bookmarkStart w:id="112" w:name="_Toc139206985"/>
    <w:bookmarkStart w:id="113" w:name="_Toc139293615"/>
    <w:bookmarkStart w:id="114" w:name="_Toc154498708"/>
    <w:bookmarkStart w:id="115" w:name="_Toc151232196"/>
    <w:bookmarkStart w:id="116" w:name="_Toc30821"/>
    <w:bookmarkStart w:id="117" w:name="_Toc154305157"/>
    <w:bookmarkStart w:id="118" w:name="_Toc154304795"/>
    <w:bookmarkStart w:id="119" w:name="_Toc151116582"/>
    <w:bookmarkEnd w:id="107"/>
    <w:bookmarkEnd w:id="109"/>
    <w:p w14:paraId="0582FC6A">
      <w:pPr>
        <w:pStyle w:val="style0"/>
        <w:spacing w:lineRule="exact" w:line="560"/>
        <w:ind w:firstLine="643"/>
        <w:rPr>
          <w:b/>
          <w:bCs/>
          <w:sz w:val="32"/>
        </w:rPr>
      </w:pPr>
      <w:r>
        <w:rPr>
          <w:rFonts w:hint="eastAsia"/>
          <w:b/>
          <w:bCs/>
          <w:sz w:val="32"/>
        </w:rPr>
        <w:t>3、</w:t>
      </w:r>
      <w:r>
        <w:rPr>
          <w:b/>
          <w:bCs/>
          <w:sz w:val="32"/>
        </w:rPr>
        <w:t>规划安全防范措施</w:t>
      </w:r>
      <w:bookmarkEnd w:id="110"/>
      <w:bookmarkEnd w:id="111"/>
      <w:bookmarkEnd w:id="112"/>
      <w:bookmarkEnd w:id="113"/>
      <w:bookmarkEnd w:id="114"/>
      <w:bookmarkEnd w:id="115"/>
      <w:bookmarkEnd w:id="116"/>
      <w:bookmarkEnd w:id="117"/>
      <w:bookmarkEnd w:id="118"/>
    </w:p>
    <w:p w14:paraId="0D1A2429">
      <w:pPr>
        <w:pStyle w:val="style0"/>
        <w:spacing w:lineRule="exact" w:line="560"/>
        <w:ind w:firstLine="640"/>
        <w:rPr>
          <w:rFonts w:cs="Times New Roman"/>
          <w:sz w:val="32"/>
          <w:szCs w:val="28"/>
        </w:rPr>
      </w:pPr>
      <w:r>
        <w:rPr>
          <w:rFonts w:hint="eastAsia"/>
          <w:sz w:val="32"/>
        </w:rPr>
        <w:t>园区</w:t>
      </w:r>
      <w:r>
        <w:rPr>
          <w:rFonts w:cs="Times New Roman" w:hint="eastAsia"/>
          <w:sz w:val="32"/>
          <w:szCs w:val="28"/>
        </w:rPr>
        <w:t>要全面掌握各项目应急救援相关信息</w:t>
      </w:r>
      <w:r>
        <w:rPr>
          <w:rFonts w:cs="Times New Roman"/>
          <w:sz w:val="32"/>
          <w:szCs w:val="28"/>
        </w:rPr>
        <w:t>，制定总体应急救援预案及专项预案；建立应急物资储备保障制度，建立完善应急物资保障体系；整合区内各项目所配置的压力、温度、液位、泄漏报警等自动化监控措施，构建一体化应急管理信息平台，并依托信息平台，对安全生产状况实施动态监控及预警预报，定期进行安全生产风险分析；建立与周边社区危险性告知和应急联动体系，及时发布预警信息，落实防范和应急处置措施。</w:t>
      </w:r>
    </w:p>
    <w:bookmarkStart w:id="120" w:name="_Toc10719"/>
    <w:bookmarkStart w:id="121" w:name="_Toc6263"/>
    <w:bookmarkStart w:id="122" w:name="_Toc1928"/>
    <w:bookmarkEnd w:id="119"/>
    <w:p w14:paraId="3EE9EE78">
      <w:pPr>
        <w:pStyle w:val="style2"/>
        <w:spacing w:lineRule="exact" w:line="560"/>
        <w:rPr>
          <w:rFonts w:hint="default"/>
          <w:sz w:val="32"/>
        </w:rPr>
      </w:pPr>
      <w:r>
        <w:rPr>
          <w:sz w:val="32"/>
        </w:rPr>
        <w:t>4.6地质灾害风险</w:t>
      </w:r>
      <w:bookmarkEnd w:id="120"/>
      <w:bookmarkEnd w:id="121"/>
      <w:bookmarkEnd w:id="122"/>
    </w:p>
    <w:p w14:paraId="2F6E4690">
      <w:pPr>
        <w:pStyle w:val="style0"/>
        <w:spacing w:lineRule="exact" w:line="560"/>
        <w:ind w:firstLine="640"/>
        <w:rPr>
          <w:sz w:val="32"/>
        </w:rPr>
      </w:pPr>
      <w:r>
        <w:rPr>
          <w:rFonts w:hint="eastAsia"/>
          <w:sz w:val="32"/>
        </w:rPr>
        <w:t>化工产业园（扩区部分）区域内无活动性断裂，不在地震断层、地质灾害易发区、陷落区，区域稳定性较好</w:t>
      </w:r>
      <w:r>
        <w:rPr>
          <w:sz w:val="32"/>
        </w:rPr>
        <w:t>。</w:t>
      </w:r>
    </w:p>
    <w:bookmarkStart w:id="123" w:name="_Toc252"/>
    <w:bookmarkStart w:id="124" w:name="_Toc24392"/>
    <w:bookmarkStart w:id="125" w:name="_Toc5945"/>
    <w:p w14:paraId="3495DB67">
      <w:pPr>
        <w:pStyle w:val="style2"/>
        <w:spacing w:lineRule="exact" w:line="560"/>
        <w:rPr>
          <w:rFonts w:hint="default"/>
          <w:sz w:val="32"/>
        </w:rPr>
      </w:pPr>
      <w:r>
        <w:rPr>
          <w:sz w:val="32"/>
        </w:rPr>
        <w:t>4.7净空区、全年静风频率分析</w:t>
      </w:r>
      <w:bookmarkEnd w:id="123"/>
      <w:bookmarkEnd w:id="124"/>
      <w:bookmarkEnd w:id="125"/>
    </w:p>
    <w:p w14:paraId="740ED721">
      <w:pPr>
        <w:pStyle w:val="style0"/>
        <w:spacing w:lineRule="exact" w:line="560"/>
        <w:ind w:firstLine="640"/>
        <w:rPr>
          <w:sz w:val="32"/>
        </w:rPr>
      </w:pPr>
      <w:r>
        <w:rPr>
          <w:rFonts w:hint="eastAsia"/>
          <w:sz w:val="32"/>
        </w:rPr>
        <w:t>化工产业园（扩区部分）</w:t>
      </w:r>
      <w:r>
        <w:rPr>
          <w:sz w:val="32"/>
        </w:rPr>
        <w:t>距离</w:t>
      </w:r>
      <w:r>
        <w:rPr>
          <w:rFonts w:hint="eastAsia"/>
          <w:sz w:val="32"/>
        </w:rPr>
        <w:t>连云港白塔埠机场68.4</w:t>
      </w:r>
      <w:r>
        <w:rPr>
          <w:sz w:val="32"/>
        </w:rPr>
        <w:t>km、</w:t>
      </w:r>
      <w:r>
        <w:rPr>
          <w:rFonts w:hint="eastAsia"/>
          <w:sz w:val="32"/>
        </w:rPr>
        <w:t>连云港花果山机场40.8</w:t>
      </w:r>
      <w:r>
        <w:rPr>
          <w:sz w:val="32"/>
        </w:rPr>
        <w:t>km，不涉及净空区。</w:t>
      </w:r>
    </w:p>
    <w:bookmarkStart w:id="126" w:name="_Toc5269"/>
    <w:bookmarkStart w:id="127" w:name="_Toc12151"/>
    <w:bookmarkStart w:id="128" w:name="_Toc151116583"/>
    <w:bookmarkStart w:id="129" w:name="_Toc20579"/>
    <w:p w14:paraId="78600F96">
      <w:pPr>
        <w:pStyle w:val="style2"/>
        <w:spacing w:lineRule="exact" w:line="560"/>
        <w:rPr>
          <w:rFonts w:hint="default"/>
          <w:sz w:val="32"/>
        </w:rPr>
      </w:pPr>
      <w:r>
        <w:rPr>
          <w:sz w:val="32"/>
        </w:rPr>
        <w:t>4.8区域城乡历史文化资源</w:t>
      </w:r>
      <w:bookmarkEnd w:id="126"/>
      <w:bookmarkEnd w:id="127"/>
      <w:bookmarkEnd w:id="128"/>
      <w:bookmarkEnd w:id="129"/>
    </w:p>
    <w:p w14:paraId="1842DE69">
      <w:pPr>
        <w:pStyle w:val="style0"/>
        <w:spacing w:lineRule="exact" w:line="560"/>
        <w:ind w:firstLine="640"/>
        <w:rPr>
          <w:rFonts w:cs="Times New Roman"/>
          <w:sz w:val="32"/>
          <w:szCs w:val="28"/>
        </w:rPr>
        <w:sectPr>
          <w:headerReference w:type="default" r:id="rId18"/>
          <w:footerReference w:type="default" r:id="rId19"/>
          <w:pgSz w:w="11906" w:h="16838" w:orient="portrait"/>
          <w:pgMar w:top="1440" w:right="1803" w:bottom="1440" w:left="1803" w:header="851" w:footer="992" w:gutter="0"/>
          <w:cols w:space="0" w:num="1"/>
          <w:docGrid w:type="lines" w:linePitch="388" w:charSpace="0"/>
        </w:sectPr>
      </w:pPr>
      <w:r>
        <w:rPr>
          <w:rFonts w:hint="eastAsia"/>
          <w:sz w:val="32"/>
        </w:rPr>
        <w:t>经调查，化工产业园（扩区部分）所在区域由黄河泥沙冲击、海水东退形成陆也，为平原、滩涂地。通过档案调查</w:t>
      </w:r>
      <w:r>
        <w:rPr>
          <w:sz w:val="32"/>
        </w:rPr>
        <w:t>、现场踏勘、人员访谈等</w:t>
      </w:r>
      <w:r>
        <w:rPr>
          <w:rFonts w:hint="eastAsia"/>
          <w:sz w:val="32"/>
        </w:rPr>
        <w:t>方式，扩区</w:t>
      </w:r>
      <w:r>
        <w:rPr>
          <w:sz w:val="32"/>
        </w:rPr>
        <w:t>地块</w:t>
      </w:r>
      <w:r>
        <w:rPr>
          <w:rFonts w:hint="eastAsia"/>
          <w:sz w:val="32"/>
        </w:rPr>
        <w:t>未见有利用价值的城乡历史文化资源。</w:t>
      </w:r>
    </w:p>
    <w:bookmarkStart w:id="130" w:name="_Toc7107"/>
    <w:bookmarkStart w:id="131" w:name="_Toc3094"/>
    <w:bookmarkStart w:id="132" w:name="_Toc18014"/>
    <w:p w14:paraId="585B31CB">
      <w:pPr>
        <w:pStyle w:val="style1"/>
        <w:spacing w:lineRule="exact" w:line="560"/>
        <w:rPr>
          <w:rFonts w:hint="default"/>
        </w:rPr>
      </w:pPr>
      <w:r>
        <w:t>五、基础设施建设方案</w:t>
      </w:r>
      <w:bookmarkEnd w:id="130"/>
      <w:bookmarkEnd w:id="131"/>
      <w:bookmarkEnd w:id="132"/>
    </w:p>
    <w:bookmarkStart w:id="133" w:name="_Toc7541"/>
    <w:bookmarkStart w:id="134" w:name="_Toc7975"/>
    <w:bookmarkStart w:id="135" w:name="_Toc14429"/>
    <w:bookmarkStart w:id="136" w:name="_Toc16339"/>
    <w:bookmarkStart w:id="137" w:name="_Toc13683"/>
    <w:p w14:paraId="3D9215CF">
      <w:pPr>
        <w:pStyle w:val="style2"/>
        <w:spacing w:lineRule="exact" w:line="560"/>
        <w:rPr>
          <w:rFonts w:hint="default"/>
          <w:sz w:val="32"/>
        </w:rPr>
      </w:pPr>
      <w:r>
        <w:rPr>
          <w:sz w:val="32"/>
        </w:rPr>
        <w:t>5.1公共基础设施规划</w:t>
      </w:r>
      <w:bookmarkEnd w:id="133"/>
    </w:p>
    <w:p w14:paraId="285B709B">
      <w:pPr>
        <w:pStyle w:val="style0"/>
        <w:spacing w:lineRule="exact" w:line="560"/>
        <w:ind w:firstLine="643"/>
        <w:rPr>
          <w:b/>
          <w:bCs/>
          <w:sz w:val="32"/>
        </w:rPr>
      </w:pPr>
      <w:r>
        <w:rPr>
          <w:rFonts w:hint="eastAsia"/>
          <w:b/>
          <w:bCs/>
          <w:sz w:val="32"/>
        </w:rPr>
        <w:t>（1）交通工程</w:t>
      </w:r>
    </w:p>
    <w:p w14:paraId="56FBABF2">
      <w:pPr>
        <w:pStyle w:val="style0"/>
        <w:spacing w:lineRule="exact" w:line="560"/>
        <w:ind w:firstLine="640"/>
        <w:rPr>
          <w:sz w:val="32"/>
        </w:rPr>
      </w:pPr>
      <w:r>
        <w:rPr>
          <w:sz w:val="32"/>
        </w:rPr>
        <w:t>结合</w:t>
      </w:r>
      <w:r>
        <w:rPr>
          <w:rFonts w:hint="eastAsia"/>
          <w:sz w:val="32"/>
        </w:rPr>
        <w:t>化工产业园（扩区部分）</w:t>
      </w:r>
      <w:r>
        <w:rPr>
          <w:sz w:val="32"/>
        </w:rPr>
        <w:t>对外交通线路、现状道路设施、地形、地貌条件，规划园区内道路分为主干路、次干路、支路三级，主干路形成“一横两纵”的主干交通路网，采用方格网与边界道路相结合的交通骨架，合理划分地块规模。</w:t>
      </w:r>
    </w:p>
    <w:p w14:paraId="10004141">
      <w:pPr>
        <w:pStyle w:val="style0"/>
        <w:spacing w:lineRule="exact" w:line="560"/>
        <w:ind w:firstLine="643"/>
        <w:rPr>
          <w:b/>
          <w:bCs/>
          <w:sz w:val="32"/>
        </w:rPr>
      </w:pPr>
      <w:r>
        <w:rPr>
          <w:rFonts w:hint="eastAsia"/>
          <w:b/>
          <w:bCs/>
          <w:sz w:val="32"/>
        </w:rPr>
        <w:t>（2）给水工程</w:t>
      </w:r>
    </w:p>
    <w:p w14:paraId="74D40206">
      <w:pPr>
        <w:pStyle w:val="style0"/>
        <w:spacing w:lineRule="exact" w:line="560"/>
        <w:ind w:firstLine="640"/>
        <w:rPr>
          <w:sz w:val="32"/>
        </w:rPr>
      </w:pPr>
      <w:r>
        <w:rPr>
          <w:sz w:val="32"/>
        </w:rPr>
        <w:t>园区近期给水设施依托灌云县临港产业区化工产业园给水设施临港产业区自来水厂；中远期依托拟规划建设的临港产业区供水厂</w:t>
      </w:r>
      <w:r>
        <w:rPr>
          <w:rFonts w:hint="eastAsia"/>
          <w:sz w:val="32"/>
        </w:rPr>
        <w:t>。</w:t>
      </w:r>
      <w:r>
        <w:rPr>
          <w:sz w:val="32"/>
        </w:rPr>
        <w:t>灌云县拟在临港产业区西侧，新建一处市政供水厂，总规模初定为20万立方米/日。</w:t>
      </w:r>
    </w:p>
    <w:p w14:paraId="045E8EDA">
      <w:pPr>
        <w:pStyle w:val="style0"/>
        <w:spacing w:lineRule="exact" w:line="560"/>
        <w:ind w:firstLine="643"/>
        <w:rPr>
          <w:b/>
          <w:bCs/>
          <w:sz w:val="32"/>
        </w:rPr>
      </w:pPr>
      <w:r>
        <w:rPr>
          <w:rFonts w:hint="eastAsia"/>
          <w:b/>
          <w:bCs/>
          <w:sz w:val="32"/>
        </w:rPr>
        <w:t>（3）集中供电</w:t>
      </w:r>
    </w:p>
    <w:p w14:paraId="3A9AFF9C">
      <w:pPr>
        <w:pStyle w:val="style0"/>
        <w:spacing w:lineRule="exact" w:line="560"/>
        <w:ind w:firstLine="640"/>
        <w:rPr>
          <w:sz w:val="32"/>
        </w:rPr>
      </w:pPr>
      <w:r>
        <w:rPr>
          <w:sz w:val="32"/>
        </w:rPr>
        <w:t>根据</w:t>
      </w:r>
      <w:r>
        <w:rPr>
          <w:rFonts w:hint="eastAsia"/>
          <w:sz w:val="32"/>
        </w:rPr>
        <w:t>化工产业园（扩区部分）</w:t>
      </w:r>
      <w:r>
        <w:rPr>
          <w:sz w:val="32"/>
        </w:rPr>
        <w:t>内近期规划项目（202</w:t>
      </w:r>
      <w:r>
        <w:rPr>
          <w:rFonts w:hint="eastAsia"/>
          <w:sz w:val="32"/>
          <w:lang w:val="en-US" w:eastAsia="zh-CN"/>
        </w:rPr>
        <w:t>5</w:t>
      </w:r>
      <w:r>
        <w:rPr>
          <w:sz w:val="32"/>
        </w:rPr>
        <w:t>-2035年）建设，需在区内规划建设一座220kV变电站，同时建设三至四座110kV公用变电站。规划220kV变电站两回路220kV进线分别引自500kV徐圩变及盐都变。</w:t>
      </w:r>
    </w:p>
    <w:p w14:paraId="674CE946">
      <w:pPr>
        <w:pStyle w:val="style0"/>
        <w:spacing w:lineRule="exact" w:line="560"/>
        <w:ind w:firstLine="640"/>
        <w:rPr>
          <w:rFonts w:ascii="Times New Roman" w:hAnsi="Times New Roman"/>
          <w:sz w:val="32"/>
        </w:rPr>
      </w:pPr>
      <w:r>
        <w:rPr>
          <w:rFonts w:ascii="Times New Roman" w:hAnsi="Times New Roman"/>
          <w:sz w:val="32"/>
        </w:rPr>
        <w:t>中远期需在区内规划建设两座220kV变电站，规模暂定为3</w:t>
      </w:r>
      <w:r>
        <w:rPr>
          <w:rFonts w:ascii="Times New Roman" w:hAnsi="Times New Roman" w:hint="eastAsia"/>
          <w:sz w:val="32"/>
        </w:rPr>
        <w:t>×</w:t>
      </w:r>
      <w:r>
        <w:rPr>
          <w:rFonts w:ascii="Times New Roman" w:hAnsi="Times New Roman"/>
          <w:sz w:val="32"/>
        </w:rPr>
        <w:t>240MVA，同时建设9~10座</w:t>
      </w:r>
      <w:r>
        <w:rPr>
          <w:rFonts w:ascii="Times New Roman" w:hAnsi="Times New Roman" w:hint="eastAsia"/>
          <w:sz w:val="32"/>
        </w:rPr>
        <w:t>1</w:t>
      </w:r>
      <w:r>
        <w:rPr>
          <w:rFonts w:ascii="Times New Roman" w:hAnsi="Times New Roman"/>
          <w:sz w:val="32"/>
        </w:rPr>
        <w:t>10kV公用/企业专用变电站。</w:t>
      </w:r>
    </w:p>
    <w:p w14:paraId="0C9E07F6">
      <w:pPr>
        <w:pStyle w:val="style0"/>
        <w:spacing w:lineRule="exact" w:line="560"/>
        <w:ind w:firstLine="643"/>
        <w:rPr>
          <w:b/>
          <w:bCs/>
          <w:sz w:val="32"/>
        </w:rPr>
      </w:pPr>
      <w:r>
        <w:rPr>
          <w:rFonts w:hint="eastAsia"/>
          <w:b/>
          <w:bCs/>
          <w:sz w:val="32"/>
        </w:rPr>
        <w:t>（4）集中供热</w:t>
      </w:r>
    </w:p>
    <w:p w14:paraId="25A42091">
      <w:pPr>
        <w:pStyle w:val="style0"/>
        <w:spacing w:lineRule="exact" w:line="560"/>
        <w:ind w:firstLine="640"/>
        <w:rPr>
          <w:sz w:val="32"/>
        </w:rPr>
      </w:pPr>
      <w:r>
        <w:rPr>
          <w:sz w:val="32"/>
        </w:rPr>
        <w:t>规划在</w:t>
      </w:r>
      <w:r>
        <w:rPr>
          <w:rFonts w:hint="eastAsia"/>
          <w:sz w:val="32"/>
        </w:rPr>
        <w:t>化工产业园（扩区部分）</w:t>
      </w:r>
      <w:r>
        <w:rPr>
          <w:sz w:val="32"/>
        </w:rPr>
        <w:t>内建设一座热电站，分期建设8台450吨/时高温高压锅炉及配套的背压式汽轮发电机组。</w:t>
      </w:r>
    </w:p>
    <w:p w14:paraId="248216FF">
      <w:pPr>
        <w:pStyle w:val="style0"/>
        <w:spacing w:lineRule="exact" w:line="560"/>
        <w:ind w:firstLine="643"/>
        <w:rPr>
          <w:b/>
          <w:bCs/>
          <w:sz w:val="32"/>
        </w:rPr>
      </w:pPr>
      <w:r>
        <w:rPr>
          <w:rFonts w:hint="eastAsia"/>
          <w:b/>
          <w:bCs/>
          <w:sz w:val="32"/>
        </w:rPr>
        <w:t>（5）公共管廊</w:t>
      </w:r>
    </w:p>
    <w:p w14:paraId="2DB8F095">
      <w:pPr>
        <w:pStyle w:val="style0"/>
        <w:spacing w:lineRule="exact" w:line="560"/>
        <w:ind w:firstLine="640"/>
        <w:rPr>
          <w:sz w:val="32"/>
        </w:rPr>
      </w:pPr>
      <w:r>
        <w:rPr>
          <w:sz w:val="32"/>
        </w:rPr>
        <w:t>在</w:t>
      </w:r>
      <w:r>
        <w:rPr>
          <w:rFonts w:hint="eastAsia"/>
          <w:sz w:val="32"/>
        </w:rPr>
        <w:t>化工产业园（扩区部分）</w:t>
      </w:r>
      <w:r>
        <w:rPr>
          <w:sz w:val="32"/>
        </w:rPr>
        <w:t>主要道路旁规划建设区内外管管廊，用以各装置之间、各装置与公用工程及辅助工程之间、公用工程之间的连接，输送蒸汽、工业气体、液体化工物料及建设电力电缆、通信电缆等。物流管廊沿道路绿地建设，同时规划敷设110/10/0.4kV动力线走廊，通信线路走廊。</w:t>
      </w:r>
    </w:p>
    <w:p w14:paraId="2AF24398">
      <w:pPr>
        <w:pStyle w:val="style0"/>
        <w:numPr>
          <w:ilvl w:val="0"/>
          <w:numId w:val="4"/>
        </w:numPr>
        <w:spacing w:lineRule="exact" w:line="560"/>
        <w:ind w:firstLine="643"/>
        <w:rPr>
          <w:b/>
          <w:bCs/>
          <w:sz w:val="32"/>
        </w:rPr>
      </w:pPr>
      <w:r>
        <w:rPr>
          <w:rFonts w:hint="eastAsia"/>
          <w:b/>
          <w:bCs/>
          <w:sz w:val="32"/>
        </w:rPr>
        <w:t>燃气工程</w:t>
      </w:r>
    </w:p>
    <w:p w14:paraId="2B17F24A">
      <w:pPr>
        <w:pStyle w:val="style0"/>
        <w:spacing w:lineRule="exact" w:line="560"/>
        <w:ind w:firstLine="640"/>
        <w:rPr>
          <w:sz w:val="32"/>
        </w:rPr>
      </w:pPr>
      <w:r>
        <w:rPr>
          <w:sz w:val="32"/>
        </w:rPr>
        <w:t>沿园区边界敷设高压天然气管道，满足周边区域的天然气需求，预计高压天然气管道的管径DN200~DN300，预留道路地下管道空间和管位。在园区设环状中压天然气管道，管径规格为DN150~DN200。园区设高中压天然气调压站，由高压天然气管道经过高中压天然气调压站，向中压天然气管道输送天然气，中压天然气管道实现联网供气。</w:t>
      </w:r>
    </w:p>
    <w:p w14:paraId="50B6D314">
      <w:pPr>
        <w:pStyle w:val="style0"/>
        <w:numPr>
          <w:ilvl w:val="0"/>
          <w:numId w:val="4"/>
        </w:numPr>
        <w:spacing w:lineRule="exact" w:line="560"/>
        <w:ind w:firstLine="643"/>
        <w:rPr>
          <w:b/>
          <w:bCs/>
          <w:sz w:val="32"/>
        </w:rPr>
      </w:pPr>
      <w:r>
        <w:rPr>
          <w:rFonts w:hint="eastAsia"/>
          <w:b/>
          <w:bCs/>
          <w:sz w:val="32"/>
        </w:rPr>
        <w:t>防洪工程</w:t>
      </w:r>
    </w:p>
    <w:p w14:paraId="10CC8A13">
      <w:pPr>
        <w:pStyle w:val="style0"/>
        <w:spacing w:lineRule="exact" w:line="560"/>
        <w:ind w:firstLine="640"/>
        <w:rPr>
          <w:sz w:val="32"/>
        </w:rPr>
      </w:pPr>
      <w:r>
        <w:rPr>
          <w:rFonts w:hint="eastAsia"/>
          <w:sz w:val="32"/>
        </w:rPr>
        <w:t>园区周边主要防洪（潮）设施为黄海海堤和善后河河堤，应</w:t>
      </w:r>
      <w:r>
        <w:rPr>
          <w:sz w:val="32"/>
        </w:rPr>
        <w:t>按照至少200</w:t>
      </w:r>
      <w:r>
        <w:rPr>
          <w:rFonts w:hint="eastAsia"/>
          <w:sz w:val="32"/>
        </w:rPr>
        <w:t>年一遇防洪标准建设防洪（潮）堤工程，防洪堤至少高出</w:t>
      </w:r>
      <w:r>
        <w:rPr>
          <w:sz w:val="32"/>
        </w:rPr>
        <w:t>200</w:t>
      </w:r>
      <w:r>
        <w:rPr>
          <w:rFonts w:hint="eastAsia"/>
          <w:sz w:val="32"/>
        </w:rPr>
        <w:t>年一遇洪（潮）水位</w:t>
      </w:r>
      <w:r>
        <w:rPr>
          <w:sz w:val="32"/>
        </w:rPr>
        <w:t>0.5</w:t>
      </w:r>
      <w:r>
        <w:rPr>
          <w:rFonts w:hint="eastAsia"/>
          <w:sz w:val="32"/>
        </w:rPr>
        <w:t>米以上。</w:t>
      </w:r>
    </w:p>
    <w:bookmarkStart w:id="138" w:name="_Toc726"/>
    <w:bookmarkStart w:id="139" w:name="_Toc6495"/>
    <w:bookmarkStart w:id="140" w:name="_Toc5459"/>
    <w:bookmarkStart w:id="141" w:name="_Toc151232212"/>
    <w:p w14:paraId="11D9AC49">
      <w:pPr>
        <w:pStyle w:val="style2"/>
        <w:spacing w:lineRule="exact" w:line="560"/>
        <w:rPr>
          <w:rFonts w:hint="default"/>
          <w:sz w:val="32"/>
        </w:rPr>
      </w:pPr>
      <w:r>
        <w:rPr>
          <w:sz w:val="32"/>
        </w:rPr>
        <w:t>5.2封闭化管理</w:t>
      </w:r>
      <w:bookmarkEnd w:id="138"/>
      <w:bookmarkEnd w:id="139"/>
      <w:r>
        <w:rPr>
          <w:sz w:val="32"/>
        </w:rPr>
        <w:t>规划</w:t>
      </w:r>
      <w:bookmarkEnd w:id="140"/>
    </w:p>
    <w:p w14:paraId="66B31487">
      <w:pPr>
        <w:pStyle w:val="style0"/>
        <w:spacing w:lineRule="exact" w:line="560"/>
        <w:ind w:firstLine="640"/>
        <w:rPr>
          <w:sz w:val="32"/>
        </w:rPr>
      </w:pPr>
      <w:r>
        <w:rPr>
          <w:sz w:val="32"/>
        </w:rPr>
        <w:t>目前</w:t>
      </w:r>
      <w:r>
        <w:rPr>
          <w:rFonts w:hint="eastAsia"/>
          <w:sz w:val="32"/>
        </w:rPr>
        <w:t>化工产业园（扩区部分）</w:t>
      </w:r>
      <w:r>
        <w:rPr>
          <w:sz w:val="32"/>
        </w:rPr>
        <w:t>处于初期建设阶段，暂未实施封闭化管理。后期化工园区实行全封闭化管理，专用道路监控、高空瞭望和电子围栏将根据《智慧化工园区建设指南》的要求进行设置，建成后实现全天候、全方位监管。</w:t>
      </w:r>
    </w:p>
    <w:bookmarkStart w:id="142" w:name="_Toc3739"/>
    <w:bookmarkStart w:id="143" w:name="_Toc5806"/>
    <w:bookmarkStart w:id="144" w:name="_Toc1209"/>
    <w:p w14:paraId="7F277F18">
      <w:pPr>
        <w:pStyle w:val="style2"/>
        <w:spacing w:lineRule="exact" w:line="560"/>
        <w:rPr>
          <w:rFonts w:hint="default"/>
          <w:sz w:val="32"/>
        </w:rPr>
      </w:pPr>
      <w:r>
        <w:rPr>
          <w:sz w:val="32"/>
        </w:rPr>
        <w:t>5.3危险化学品车辆专用停车场</w:t>
      </w:r>
      <w:bookmarkEnd w:id="142"/>
      <w:bookmarkEnd w:id="143"/>
      <w:r>
        <w:rPr>
          <w:sz w:val="32"/>
        </w:rPr>
        <w:t>规划</w:t>
      </w:r>
      <w:bookmarkEnd w:id="144"/>
    </w:p>
    <w:p w14:paraId="2943A5D2">
      <w:pPr>
        <w:pStyle w:val="style0"/>
        <w:spacing w:lineRule="exact" w:line="560"/>
        <w:ind w:firstLine="640"/>
        <w:rPr>
          <w:sz w:val="32"/>
        </w:rPr>
      </w:pPr>
      <w:r>
        <w:rPr>
          <w:rFonts w:hint="eastAsia"/>
          <w:sz w:val="32"/>
        </w:rPr>
        <w:t>化工产业园（扩区部分）规划在G</w:t>
      </w:r>
      <w:r>
        <w:rPr>
          <w:sz w:val="32"/>
        </w:rPr>
        <w:t>228以南、石化路以东设置一处危险化学品车辆专用停车场，为进入园区的车辆以及等待进入各企业的车辆提供停车服务，有效解决园区内危险化学品运输车辆无序停放引发的安全隐患。危化品运输车辆停车场可根据危险化学品运输车辆风险动态调整危化品专用停车场的布局和建设进度。</w:t>
      </w:r>
    </w:p>
    <w:bookmarkStart w:id="145" w:name="_Toc21942"/>
    <w:bookmarkStart w:id="146" w:name="_Toc27517"/>
    <w:bookmarkStart w:id="147" w:name="_Toc24755"/>
    <w:p w14:paraId="233D248F">
      <w:pPr>
        <w:pStyle w:val="style2"/>
        <w:spacing w:lineRule="exact" w:line="560"/>
        <w:rPr>
          <w:rFonts w:hint="default"/>
          <w:sz w:val="32"/>
        </w:rPr>
      </w:pPr>
      <w:r>
        <w:rPr>
          <w:sz w:val="32"/>
        </w:rPr>
        <w:t>5.4应急能力建设</w:t>
      </w:r>
      <w:bookmarkEnd w:id="145"/>
      <w:bookmarkEnd w:id="146"/>
      <w:r>
        <w:rPr>
          <w:sz w:val="32"/>
        </w:rPr>
        <w:t>规划</w:t>
      </w:r>
      <w:bookmarkEnd w:id="147"/>
    </w:p>
    <w:p w14:paraId="7BB04F6C">
      <w:pPr>
        <w:pStyle w:val="style0"/>
        <w:spacing w:lineRule="exact" w:line="560"/>
        <w:ind w:firstLine="640"/>
        <w:rPr>
          <w:sz w:val="32"/>
        </w:rPr>
      </w:pPr>
      <w:r>
        <w:rPr>
          <w:rFonts w:hint="eastAsia"/>
          <w:sz w:val="32"/>
        </w:rPr>
        <w:t>化工产业园（扩区部分）可依托园区现有应急力量并进行补充，</w:t>
      </w:r>
      <w:r>
        <w:rPr>
          <w:sz w:val="32"/>
        </w:rPr>
        <w:t>可根据</w:t>
      </w:r>
      <w:r>
        <w:rPr>
          <w:rFonts w:hint="eastAsia"/>
          <w:sz w:val="32"/>
        </w:rPr>
        <w:t>入驻企业规模进行调整。</w:t>
      </w:r>
    </w:p>
    <w:p w14:paraId="35E3DB65">
      <w:pPr>
        <w:pStyle w:val="style0"/>
        <w:spacing w:lineRule="exact" w:line="560"/>
        <w:ind w:firstLine="640"/>
        <w:rPr>
          <w:sz w:val="32"/>
        </w:rPr>
      </w:pPr>
      <w:r>
        <w:rPr>
          <w:sz w:val="32"/>
        </w:rPr>
        <w:t>（1）应根据自然条件、危险源分布、危险物料特性、危险工艺特点、仓储规模等，结合园区周边应急设施、基础设施和公用工程等依托条件，建立应急救援防护体系，统一协调管理园区及园区内各企业的应急救援力量。</w:t>
      </w:r>
    </w:p>
    <w:p w14:paraId="01648098">
      <w:pPr>
        <w:pStyle w:val="style0"/>
        <w:spacing w:lineRule="exact" w:line="560"/>
        <w:ind w:firstLine="640"/>
        <w:rPr>
          <w:sz w:val="32"/>
        </w:rPr>
      </w:pPr>
      <w:r>
        <w:rPr>
          <w:sz w:val="32"/>
        </w:rPr>
        <w:t>（2）应急救援防护体系应具备识别园区工业灾害、自然灾害等风险因素的能力，包括但不限于：安全应急救援指挥中心、安全应急救援专家库、安全应急救援队及装备、应急救援设施、应急救援物资库、安全应急预案及医疗救护站开展应急救援。</w:t>
      </w:r>
    </w:p>
    <w:p w14:paraId="07A604F7">
      <w:pPr>
        <w:pStyle w:val="style0"/>
        <w:spacing w:lineRule="exact" w:line="560"/>
        <w:ind w:firstLine="640"/>
        <w:rPr>
          <w:sz w:val="32"/>
        </w:rPr>
      </w:pPr>
      <w:r>
        <w:rPr>
          <w:sz w:val="32"/>
        </w:rPr>
        <w:t>（3）</w:t>
      </w:r>
      <w:r>
        <w:rPr>
          <w:rFonts w:hint="eastAsia"/>
          <w:sz w:val="32"/>
        </w:rPr>
        <w:t>依托园区管理办公室</w:t>
      </w:r>
      <w:r>
        <w:rPr>
          <w:sz w:val="32"/>
        </w:rPr>
        <w:t>应急救援指挥部。</w:t>
      </w:r>
    </w:p>
    <w:p w14:paraId="07191EA0">
      <w:pPr>
        <w:pStyle w:val="style0"/>
        <w:spacing w:lineRule="exact" w:line="560"/>
        <w:ind w:firstLine="640"/>
        <w:rPr>
          <w:sz w:val="32"/>
        </w:rPr>
      </w:pPr>
      <w:r>
        <w:rPr>
          <w:sz w:val="32"/>
        </w:rPr>
        <w:t>（</w:t>
      </w:r>
      <w:r>
        <w:rPr>
          <w:rFonts w:hint="eastAsia"/>
          <w:sz w:val="32"/>
        </w:rPr>
        <w:t>4</w:t>
      </w:r>
      <w:r>
        <w:rPr>
          <w:sz w:val="32"/>
        </w:rPr>
        <w:t>）应急救援设施应统一规划，规划在</w:t>
      </w:r>
      <w:r>
        <w:rPr>
          <w:rFonts w:hint="eastAsia"/>
          <w:sz w:val="32"/>
        </w:rPr>
        <w:t>化工产业园（扩区部分）</w:t>
      </w:r>
      <w:r>
        <w:rPr>
          <w:sz w:val="32"/>
        </w:rPr>
        <w:t>设置3座消防站。</w:t>
      </w:r>
    </w:p>
    <w:p w14:paraId="69B88327">
      <w:pPr>
        <w:pStyle w:val="style0"/>
        <w:spacing w:lineRule="exact" w:line="560"/>
        <w:ind w:firstLine="640"/>
        <w:rPr>
          <w:sz w:val="32"/>
        </w:rPr>
      </w:pPr>
      <w:r>
        <w:rPr>
          <w:sz w:val="32"/>
        </w:rPr>
        <w:t>（</w:t>
      </w:r>
      <w:r>
        <w:rPr>
          <w:rFonts w:hint="eastAsia"/>
          <w:sz w:val="32"/>
        </w:rPr>
        <w:t>5</w:t>
      </w:r>
      <w:r>
        <w:rPr>
          <w:sz w:val="32"/>
        </w:rPr>
        <w:t>）应统筹规划配备充足的应急物资装备。可通过与邻近单位或园区内企业签订协作协议作为应急救援物资的补充。</w:t>
      </w:r>
    </w:p>
    <w:p w14:paraId="668C5901">
      <w:pPr>
        <w:pStyle w:val="style0"/>
        <w:spacing w:lineRule="exact" w:line="560"/>
        <w:ind w:firstLine="640"/>
        <w:rPr>
          <w:sz w:val="32"/>
        </w:rPr>
      </w:pPr>
      <w:r>
        <w:rPr>
          <w:sz w:val="32"/>
        </w:rPr>
        <w:t>（</w:t>
      </w:r>
      <w:r>
        <w:rPr>
          <w:rFonts w:hint="eastAsia"/>
          <w:sz w:val="32"/>
        </w:rPr>
        <w:t>6</w:t>
      </w:r>
      <w:r>
        <w:rPr>
          <w:sz w:val="32"/>
        </w:rPr>
        <w:t>）应制定总体应急预案及专项预案，至少每2年组织1次生产安全事故应急演练，并加强相关部门的</w:t>
      </w:r>
      <w:r>
        <w:rPr>
          <w:rFonts w:hint="eastAsia"/>
          <w:sz w:val="32"/>
        </w:rPr>
        <w:t>应急</w:t>
      </w:r>
      <w:r>
        <w:rPr>
          <w:sz w:val="32"/>
        </w:rPr>
        <w:t>救援联动。</w:t>
      </w:r>
    </w:p>
    <w:p w14:paraId="313F57D3">
      <w:pPr>
        <w:pStyle w:val="style0"/>
        <w:spacing w:lineRule="exact" w:line="560"/>
        <w:ind w:firstLine="640"/>
        <w:rPr>
          <w:sz w:val="32"/>
        </w:rPr>
      </w:pPr>
      <w:r>
        <w:rPr>
          <w:sz w:val="32"/>
        </w:rPr>
        <w:t>（</w:t>
      </w:r>
      <w:r>
        <w:rPr>
          <w:rFonts w:hint="eastAsia"/>
          <w:sz w:val="32"/>
        </w:rPr>
        <w:t>7</w:t>
      </w:r>
      <w:r>
        <w:rPr>
          <w:sz w:val="32"/>
        </w:rPr>
        <w:t>）应具有应对化学品伤害的医疗救援、职业卫生防护等的能力。园区管委会可与当地医院签订合作协议书，将其作为化工园区医疗救护站。</w:t>
      </w:r>
    </w:p>
    <w:p w14:paraId="66191909">
      <w:pPr>
        <w:pStyle w:val="style0"/>
        <w:spacing w:lineRule="exact" w:line="560"/>
        <w:ind w:firstLine="640"/>
        <w:rPr>
          <w:sz w:val="32"/>
        </w:rPr>
      </w:pPr>
      <w:r>
        <w:rPr>
          <w:sz w:val="32"/>
        </w:rPr>
        <w:t>（</w:t>
      </w:r>
      <w:r>
        <w:rPr>
          <w:rFonts w:hint="eastAsia"/>
          <w:sz w:val="32"/>
        </w:rPr>
        <w:t>8</w:t>
      </w:r>
      <w:r>
        <w:rPr>
          <w:sz w:val="32"/>
        </w:rPr>
        <w:t>）鼓励园区因地制宜，利用园区内企业现有设施完善应急避难功能，应有利于人员在事故应急状态下的撤离。</w:t>
      </w:r>
    </w:p>
    <w:bookmarkStart w:id="148" w:name="_Toc19781"/>
    <w:bookmarkStart w:id="149" w:name="_Toc1843"/>
    <w:bookmarkStart w:id="150" w:name="_Toc184"/>
    <w:p w14:paraId="6BE250DF">
      <w:pPr>
        <w:pStyle w:val="style2"/>
        <w:spacing w:lineRule="exact" w:line="560"/>
        <w:rPr>
          <w:rFonts w:hint="default"/>
          <w:sz w:val="32"/>
        </w:rPr>
      </w:pPr>
      <w:r>
        <w:rPr>
          <w:sz w:val="32"/>
        </w:rPr>
        <w:t>5.5化工实训基地建设</w:t>
      </w:r>
      <w:bookmarkEnd w:id="148"/>
      <w:bookmarkEnd w:id="149"/>
      <w:r>
        <w:rPr>
          <w:sz w:val="32"/>
        </w:rPr>
        <w:t>规划</w:t>
      </w:r>
      <w:bookmarkEnd w:id="150"/>
    </w:p>
    <w:p w14:paraId="64457CB6">
      <w:pPr>
        <w:pStyle w:val="style0"/>
        <w:spacing w:lineRule="exact" w:line="560"/>
        <w:ind w:firstLine="640"/>
        <w:rPr>
          <w:sz w:val="32"/>
        </w:rPr>
      </w:pPr>
      <w:r>
        <w:rPr>
          <w:sz w:val="32"/>
        </w:rPr>
        <w:t>园区</w:t>
      </w:r>
      <w:r>
        <w:rPr>
          <w:rFonts w:hint="eastAsia"/>
          <w:sz w:val="32"/>
        </w:rPr>
        <w:t>管理办公室将统筹园区现有区域与扩建区域企业管理，完善与徐圩新区应急救援实训基地的委托协议，并督促入驻企业签订委托培训协议，依托徐圩新区应急救援实训基地开展多种培训业务</w:t>
      </w:r>
      <w:r>
        <w:rPr>
          <w:sz w:val="32"/>
        </w:rPr>
        <w:t>。</w:t>
      </w:r>
    </w:p>
    <w:bookmarkStart w:id="151" w:name="_Toc48"/>
    <w:bookmarkStart w:id="152" w:name="_Toc26406"/>
    <w:bookmarkStart w:id="153" w:name="_Toc11648"/>
    <w:p w14:paraId="58CE3C24">
      <w:pPr>
        <w:pStyle w:val="style2"/>
        <w:spacing w:lineRule="exact" w:line="560"/>
        <w:rPr>
          <w:rFonts w:hint="default"/>
          <w:sz w:val="32"/>
        </w:rPr>
      </w:pPr>
      <w:r>
        <w:rPr>
          <w:sz w:val="32"/>
        </w:rPr>
        <w:t>5.6固废处置及环境预警体系建设</w:t>
      </w:r>
      <w:bookmarkEnd w:id="151"/>
      <w:bookmarkEnd w:id="152"/>
      <w:r>
        <w:rPr>
          <w:sz w:val="32"/>
        </w:rPr>
        <w:t>规划</w:t>
      </w:r>
      <w:bookmarkEnd w:id="153"/>
    </w:p>
    <w:p w14:paraId="7AE60BBD">
      <w:pPr>
        <w:pStyle w:val="style0"/>
        <w:spacing w:lineRule="exact" w:line="560"/>
        <w:ind w:firstLine="643"/>
        <w:rPr>
          <w:b/>
          <w:bCs/>
          <w:sz w:val="32"/>
        </w:rPr>
      </w:pPr>
      <w:r>
        <w:rPr>
          <w:rFonts w:hint="eastAsia"/>
          <w:b/>
          <w:bCs/>
          <w:sz w:val="32"/>
        </w:rPr>
        <w:t>（1）固废处置</w:t>
      </w:r>
    </w:p>
    <w:p w14:paraId="665D499E">
      <w:pPr>
        <w:pStyle w:val="style0"/>
        <w:spacing w:lineRule="exact" w:line="560"/>
        <w:ind w:firstLine="640"/>
        <w:rPr>
          <w:sz w:val="32"/>
        </w:rPr>
      </w:pPr>
      <w:r>
        <w:rPr>
          <w:sz w:val="32"/>
        </w:rPr>
        <w:t>推动固体废物源头减量、资源化利用和安全处置。</w:t>
      </w:r>
    </w:p>
    <w:p w14:paraId="23DE2B43">
      <w:pPr>
        <w:pStyle w:val="style0"/>
        <w:spacing w:lineRule="exact" w:line="560"/>
        <w:ind w:firstLine="640"/>
        <w:rPr>
          <w:sz w:val="32"/>
        </w:rPr>
      </w:pPr>
      <w:r>
        <w:rPr>
          <w:sz w:val="32"/>
        </w:rPr>
        <w:t>园区产生的一般工业固废原则上以市场化方式实现安全处置。可优先销售给相应厂家回收并综合利用；无法回收利用的，送至一般固废填埋场进行填埋处置。一般固废综合利用及处置率应达到100%。</w:t>
      </w:r>
    </w:p>
    <w:p w14:paraId="1D2E5C4B">
      <w:pPr>
        <w:pStyle w:val="style0"/>
        <w:spacing w:lineRule="exact" w:line="560"/>
        <w:ind w:firstLine="640"/>
        <w:rPr>
          <w:sz w:val="32"/>
        </w:rPr>
      </w:pPr>
      <w:r>
        <w:rPr>
          <w:sz w:val="32"/>
        </w:rPr>
        <w:t>危废安全处置率应达到100%</w:t>
      </w:r>
      <w:r>
        <w:rPr>
          <w:rFonts w:hint="eastAsia"/>
          <w:sz w:val="32"/>
        </w:rPr>
        <w:t>，</w:t>
      </w:r>
      <w:r>
        <w:rPr>
          <w:sz w:val="32"/>
        </w:rPr>
        <w:t>含有贵重金属的废催化剂由生产厂家回收利用，进行综合利用。无法回收利用的废催化剂、废干燥剂、废污泥焚烧后的灰渣等，本身含有或因使用时表面吸附有《国家危险废物名录》中列入的成分，确定为危险废物的，委托有资质的危险废物处置单位进行处理处置。尽量依托园区内部及周边危废焚烧及填埋企业安全处置，减少危险废物的跨行政区域转移。</w:t>
      </w:r>
    </w:p>
    <w:p w14:paraId="16977081">
      <w:pPr>
        <w:pStyle w:val="style0"/>
        <w:spacing w:lineRule="exact" w:line="560"/>
        <w:ind w:firstLine="640"/>
        <w:rPr>
          <w:sz w:val="32"/>
        </w:rPr>
      </w:pPr>
      <w:r>
        <w:rPr>
          <w:sz w:val="32"/>
        </w:rPr>
        <w:t>污水处理厂污泥、浓盐水结晶后的结晶盐应按《国家危险废物名录》、国家环境保护标准《危险废物鉴别技术规范》（HJ/T298-2019）和危险废物鉴别标准的规定，对污泥进行危险特性鉴别。如鉴定为危险废物，则按危险废物进行处理，送有资质的危险废物处置企业进行处置。</w:t>
      </w:r>
    </w:p>
    <w:p w14:paraId="4AC3D4BD">
      <w:pPr>
        <w:pStyle w:val="style0"/>
        <w:spacing w:lineRule="exact" w:line="560"/>
        <w:ind w:firstLine="640"/>
        <w:rPr>
          <w:sz w:val="32"/>
        </w:rPr>
      </w:pPr>
      <w:r>
        <w:rPr>
          <w:sz w:val="32"/>
        </w:rPr>
        <w:t>生活垃圾收集后统一运往当地市政垃圾填埋场进行处理。</w:t>
      </w:r>
    </w:p>
    <w:p w14:paraId="55C52243">
      <w:pPr>
        <w:pStyle w:val="style0"/>
        <w:spacing w:lineRule="exact" w:line="560"/>
        <w:ind w:firstLine="643"/>
        <w:rPr>
          <w:b/>
          <w:bCs/>
          <w:sz w:val="32"/>
        </w:rPr>
      </w:pPr>
      <w:r>
        <w:rPr>
          <w:rFonts w:hint="eastAsia"/>
          <w:b/>
          <w:bCs/>
          <w:sz w:val="32"/>
        </w:rPr>
        <w:t>（2）土壤、地下水</w:t>
      </w:r>
      <w:r>
        <w:rPr>
          <w:b/>
          <w:bCs/>
          <w:sz w:val="32"/>
        </w:rPr>
        <w:t>监测</w:t>
      </w:r>
      <w:r>
        <w:rPr>
          <w:rFonts w:hint="eastAsia"/>
          <w:b/>
          <w:bCs/>
          <w:sz w:val="32"/>
        </w:rPr>
        <w:t>预警</w:t>
      </w:r>
    </w:p>
    <w:p w14:paraId="06C048BF">
      <w:pPr>
        <w:pStyle w:val="style0"/>
        <w:spacing w:lineRule="exact" w:line="560"/>
        <w:ind w:firstLine="640"/>
        <w:rPr>
          <w:sz w:val="32"/>
        </w:rPr>
      </w:pPr>
      <w:r>
        <w:rPr>
          <w:sz w:val="32"/>
        </w:rPr>
        <w:t>化工园区管理机构</w:t>
      </w:r>
      <w:r>
        <w:rPr>
          <w:rFonts w:hint="eastAsia"/>
          <w:sz w:val="32"/>
        </w:rPr>
        <w:t>将统筹园区现有区域与扩建区域的</w:t>
      </w:r>
      <w:r>
        <w:rPr>
          <w:sz w:val="32"/>
        </w:rPr>
        <w:t>园区地下水环境监测网建设、化工园区周边土壤和地下水监督性监测、</w:t>
      </w:r>
      <w:r>
        <w:rPr>
          <w:rFonts w:hint="eastAsia"/>
          <w:sz w:val="32"/>
        </w:rPr>
        <w:t>土壤及</w:t>
      </w:r>
      <w:r>
        <w:rPr>
          <w:sz w:val="32"/>
        </w:rPr>
        <w:t>地下水环境状况调查、风险评估、风险管控或修复等工作</w:t>
      </w:r>
      <w:r>
        <w:rPr>
          <w:rFonts w:hint="eastAsia"/>
          <w:sz w:val="32"/>
        </w:rPr>
        <w:t>；</w:t>
      </w:r>
      <w:r>
        <w:rPr>
          <w:sz w:val="32"/>
        </w:rPr>
        <w:t>开展园区地下水环境监测</w:t>
      </w:r>
      <w:r>
        <w:rPr>
          <w:rFonts w:hint="eastAsia"/>
          <w:sz w:val="32"/>
        </w:rPr>
        <w:t>。</w:t>
      </w:r>
    </w:p>
    <w:p w14:paraId="19B38A27">
      <w:pPr>
        <w:pStyle w:val="style0"/>
        <w:spacing w:lineRule="exact" w:line="560"/>
        <w:ind w:firstLine="643"/>
        <w:rPr>
          <w:b/>
          <w:bCs/>
          <w:sz w:val="32"/>
        </w:rPr>
      </w:pPr>
      <w:r>
        <w:rPr>
          <w:rFonts w:hint="eastAsia"/>
          <w:b/>
          <w:bCs/>
          <w:sz w:val="32"/>
        </w:rPr>
        <w:t>（3）挥发性有机物管控体系</w:t>
      </w:r>
    </w:p>
    <w:p w14:paraId="17C7A794">
      <w:pPr>
        <w:pStyle w:val="style0"/>
        <w:spacing w:lineRule="exact" w:line="560"/>
        <w:ind w:firstLine="640"/>
        <w:rPr>
          <w:sz w:val="32"/>
        </w:rPr>
      </w:pPr>
      <w:r>
        <w:rPr>
          <w:rFonts w:cs="Times New Roman" w:hint="eastAsia"/>
          <w:sz w:val="32"/>
          <w:szCs w:val="28"/>
        </w:rPr>
        <w:t>园区管理办公室将</w:t>
      </w:r>
      <w:r>
        <w:rPr>
          <w:rFonts w:hint="eastAsia"/>
          <w:sz w:val="32"/>
        </w:rPr>
        <w:t>督促新入驻企业定期开展挥发性有机物泄漏检测及修复工作，归档相关材料。</w:t>
      </w:r>
    </w:p>
    <w:bookmarkStart w:id="154" w:name="_Toc8067"/>
    <w:bookmarkStart w:id="155" w:name="_Toc29978"/>
    <w:bookmarkStart w:id="156" w:name="_Toc18062"/>
    <w:p w14:paraId="61748F16">
      <w:pPr>
        <w:pStyle w:val="style2"/>
        <w:spacing w:lineRule="exact" w:line="560"/>
        <w:rPr>
          <w:rFonts w:hint="default"/>
          <w:sz w:val="32"/>
        </w:rPr>
      </w:pPr>
      <w:r>
        <w:rPr>
          <w:sz w:val="32"/>
        </w:rPr>
        <w:t>5.7“一企一管”及配套污水处理厂建设</w:t>
      </w:r>
      <w:bookmarkEnd w:id="154"/>
      <w:bookmarkEnd w:id="155"/>
      <w:r>
        <w:rPr>
          <w:sz w:val="32"/>
        </w:rPr>
        <w:t>规划</w:t>
      </w:r>
      <w:bookmarkEnd w:id="156"/>
    </w:p>
    <w:p w14:paraId="4FA23348">
      <w:pPr>
        <w:pStyle w:val="style0"/>
        <w:spacing w:lineRule="exact" w:line="560"/>
        <w:ind w:firstLine="640"/>
        <w:rPr>
          <w:sz w:val="32"/>
        </w:rPr>
      </w:pPr>
      <w:r>
        <w:rPr>
          <w:rFonts w:hint="eastAsia"/>
          <w:sz w:val="32"/>
        </w:rPr>
        <w:t>化工产业园（扩区部分）</w:t>
      </w:r>
      <w:r>
        <w:rPr>
          <w:sz w:val="32"/>
        </w:rPr>
        <w:t>内暂无企业，暂无统一污水收集</w:t>
      </w:r>
      <w:r>
        <w:rPr>
          <w:rFonts w:hint="eastAsia"/>
          <w:sz w:val="32"/>
        </w:rPr>
        <w:t>管线</w:t>
      </w:r>
      <w:r>
        <w:rPr>
          <w:sz w:val="32"/>
        </w:rPr>
        <w:t>及处理设施。</w:t>
      </w:r>
    </w:p>
    <w:p w14:paraId="1C962767">
      <w:pPr>
        <w:pStyle w:val="style0"/>
        <w:spacing w:lineRule="exact" w:line="560"/>
        <w:ind w:firstLine="640"/>
        <w:rPr>
          <w:sz w:val="32"/>
        </w:rPr>
      </w:pPr>
      <w:r>
        <w:rPr>
          <w:rFonts w:ascii="Times New Roman" w:hAnsi="Times New Roman" w:hint="eastAsia"/>
          <w:sz w:val="32"/>
          <w:lang w:eastAsia="zh-CN"/>
        </w:rPr>
        <w:t>考虑规划园区近期项目对公用工程配套设施需求量较小</w:t>
      </w:r>
      <w:r>
        <w:rPr>
          <w:rFonts w:ascii="Times New Roman" w:hAnsi="Times New Roman" w:hint="eastAsia"/>
          <w:sz w:val="32"/>
        </w:rPr>
        <w:t>，因此规划园区近期项目污水处理依托胜科（连云港）水务有限公司污水处理厂。污水厂规划规模4万立方米/日，现状处</w:t>
      </w:r>
      <w:r>
        <w:rPr>
          <w:sz w:val="32"/>
          <w:szCs w:val="28"/>
        </w:rPr>
        <w:t>理能力</w:t>
      </w:r>
      <w:r>
        <w:rPr>
          <w:rFonts w:hint="eastAsia"/>
          <w:sz w:val="32"/>
          <w:szCs w:val="28"/>
        </w:rPr>
        <w:t>2万立方米/日，现状实际处理量约1万立方米/日</w:t>
      </w:r>
      <w:r>
        <w:rPr>
          <w:sz w:val="32"/>
        </w:rPr>
        <w:t>。根据本园区近期预测污废水量约</w:t>
      </w:r>
      <w:r>
        <w:rPr>
          <w:rFonts w:hint="eastAsia"/>
          <w:sz w:val="32"/>
        </w:rPr>
        <w:t>3.1</w:t>
      </w:r>
      <w:r>
        <w:rPr>
          <w:sz w:val="32"/>
        </w:rPr>
        <w:t>万</w:t>
      </w:r>
      <w:r>
        <w:rPr>
          <w:rFonts w:hint="eastAsia"/>
          <w:sz w:val="32"/>
        </w:rPr>
        <w:t>m</w:t>
      </w:r>
      <w:r>
        <w:rPr>
          <w:sz w:val="32"/>
          <w:vertAlign w:val="superscript"/>
        </w:rPr>
        <w:t>3</w:t>
      </w:r>
      <w:r>
        <w:rPr>
          <w:sz w:val="32"/>
        </w:rPr>
        <w:t>/</w:t>
      </w:r>
      <w:r>
        <w:rPr>
          <w:rFonts w:hint="eastAsia"/>
          <w:sz w:val="32"/>
        </w:rPr>
        <w:t>d</w:t>
      </w:r>
      <w:r>
        <w:rPr>
          <w:sz w:val="32"/>
        </w:rPr>
        <w:t>，建议在现状基础上适时扩建，以满足本次规划园区近期内项目及临港产业区化工产业园的污水处理需求。</w:t>
      </w:r>
    </w:p>
    <w:p w14:paraId="47725084">
      <w:pPr>
        <w:pStyle w:val="style0"/>
        <w:spacing w:lineRule="exact" w:line="560"/>
        <w:ind w:firstLine="640"/>
        <w:rPr>
          <w:rFonts w:cs="Times New Roman"/>
          <w:sz w:val="32"/>
          <w:szCs w:val="28"/>
        </w:rPr>
      </w:pPr>
      <w:r>
        <w:rPr>
          <w:sz w:val="32"/>
        </w:rPr>
        <w:t>根据园区中远期规划项目污水处理需求，规划建设一座园区污水处理厂，位于园区北边界外的建设用地内，占地约21公顷，并适当预留扩建用地。总规模</w:t>
      </w:r>
      <w:r>
        <w:rPr>
          <w:rFonts w:hint="eastAsia"/>
          <w:sz w:val="32"/>
        </w:rPr>
        <w:t>12</w:t>
      </w:r>
      <w:r>
        <w:rPr>
          <w:sz w:val="32"/>
        </w:rPr>
        <w:t>万立方米/日，可根据不同流程路线、分模块分期建设。</w:t>
      </w:r>
    </w:p>
    <w:bookmarkStart w:id="157" w:name="_Toc2968"/>
    <w:bookmarkStart w:id="158" w:name="_Toc25116"/>
    <w:bookmarkStart w:id="159" w:name="_Toc2916"/>
    <w:p w14:paraId="0787B757">
      <w:pPr>
        <w:pStyle w:val="style2"/>
        <w:spacing w:lineRule="exact" w:line="560"/>
        <w:rPr>
          <w:rFonts w:hint="default"/>
          <w:sz w:val="32"/>
        </w:rPr>
      </w:pPr>
      <w:r>
        <w:rPr>
          <w:sz w:val="32"/>
        </w:rPr>
        <w:t>5.8三级防控等保障体系建设</w:t>
      </w:r>
      <w:bookmarkEnd w:id="157"/>
      <w:bookmarkEnd w:id="158"/>
      <w:r>
        <w:rPr>
          <w:sz w:val="32"/>
        </w:rPr>
        <w:t>规划</w:t>
      </w:r>
      <w:bookmarkEnd w:id="159"/>
    </w:p>
    <w:p w14:paraId="7C9140D8">
      <w:pPr>
        <w:pStyle w:val="style0"/>
        <w:spacing w:lineRule="exact" w:line="560"/>
        <w:ind w:firstLine="643"/>
        <w:rPr>
          <w:b/>
          <w:bCs/>
          <w:sz w:val="32"/>
        </w:rPr>
      </w:pPr>
      <w:r>
        <w:rPr>
          <w:rFonts w:hint="eastAsia"/>
          <w:b/>
          <w:bCs/>
          <w:sz w:val="32"/>
        </w:rPr>
        <w:t>（1）环境风险监管监控体系</w:t>
      </w:r>
    </w:p>
    <w:p w14:paraId="6B71A02B">
      <w:pPr>
        <w:pStyle w:val="style0"/>
        <w:spacing w:lineRule="exact" w:line="560"/>
        <w:ind w:firstLine="640"/>
        <w:rPr>
          <w:sz w:val="32"/>
        </w:rPr>
      </w:pPr>
      <w:r>
        <w:rPr>
          <w:rFonts w:hint="eastAsia"/>
          <w:sz w:val="32"/>
        </w:rPr>
        <w:t>园区将利用智慧平台中的</w:t>
      </w:r>
      <w:r>
        <w:rPr>
          <w:sz w:val="32"/>
        </w:rPr>
        <w:t>重大危险源</w:t>
      </w:r>
      <w:r>
        <w:rPr>
          <w:rFonts w:hint="eastAsia"/>
          <w:sz w:val="32"/>
        </w:rPr>
        <w:t>监控监管能力，协同厂界预警装置、</w:t>
      </w:r>
      <w:r>
        <w:rPr>
          <w:sz w:val="32"/>
        </w:rPr>
        <w:t>大气预防预警</w:t>
      </w:r>
      <w:r>
        <w:rPr>
          <w:rFonts w:hint="eastAsia"/>
          <w:sz w:val="32"/>
        </w:rPr>
        <w:t>系统、</w:t>
      </w:r>
      <w:r>
        <w:rPr>
          <w:sz w:val="32"/>
        </w:rPr>
        <w:t>水预防预警</w:t>
      </w:r>
      <w:r>
        <w:rPr>
          <w:rFonts w:hint="eastAsia"/>
          <w:sz w:val="32"/>
        </w:rPr>
        <w:t>系统，构建环境风险监管监控体系。</w:t>
      </w:r>
    </w:p>
    <w:p w14:paraId="011A7BA6">
      <w:pPr>
        <w:pStyle w:val="style0"/>
        <w:spacing w:lineRule="exact" w:line="560"/>
        <w:ind w:firstLine="643"/>
        <w:rPr>
          <w:b/>
          <w:bCs/>
          <w:sz w:val="32"/>
        </w:rPr>
      </w:pPr>
      <w:r>
        <w:rPr>
          <w:rFonts w:hint="eastAsia"/>
          <w:b/>
          <w:bCs/>
          <w:sz w:val="32"/>
        </w:rPr>
        <w:t>（2）</w:t>
      </w:r>
      <w:r>
        <w:rPr>
          <w:b/>
          <w:bCs/>
          <w:sz w:val="32"/>
        </w:rPr>
        <w:t>应急资源保障体系</w:t>
      </w:r>
    </w:p>
    <w:p w14:paraId="700643AD">
      <w:pPr>
        <w:pStyle w:val="style0"/>
        <w:spacing w:lineRule="exact" w:line="560"/>
        <w:ind w:firstLine="640"/>
        <w:rPr>
          <w:sz w:val="32"/>
        </w:rPr>
      </w:pPr>
      <w:r>
        <w:rPr>
          <w:sz w:val="32"/>
        </w:rPr>
        <w:t>园区</w:t>
      </w:r>
      <w:r>
        <w:rPr>
          <w:rFonts w:hint="eastAsia"/>
          <w:sz w:val="32"/>
        </w:rPr>
        <w:t>管理办公室将统筹园区现有区域与扩建区域企业管理，进一步摸清园区内和周边的应急物资储备和应急救援队伍情况并建立应急物资和救援队伍档案。与临近单位签订应急救援协议或互救协议。</w:t>
      </w:r>
    </w:p>
    <w:p w14:paraId="3B5F42C7">
      <w:pPr>
        <w:pStyle w:val="style0"/>
        <w:spacing w:lineRule="exact" w:line="560"/>
        <w:ind w:firstLine="643"/>
        <w:rPr>
          <w:b/>
          <w:bCs/>
          <w:sz w:val="32"/>
        </w:rPr>
      </w:pPr>
      <w:r>
        <w:rPr>
          <w:rFonts w:hint="eastAsia"/>
          <w:b/>
          <w:bCs/>
          <w:sz w:val="32"/>
        </w:rPr>
        <w:t>（3）</w:t>
      </w:r>
      <w:r>
        <w:rPr>
          <w:b/>
          <w:bCs/>
          <w:sz w:val="32"/>
        </w:rPr>
        <w:t>三级防控体系规划建设</w:t>
      </w:r>
    </w:p>
    <w:p w14:paraId="5091A622">
      <w:pPr>
        <w:pStyle w:val="style0"/>
        <w:spacing w:lineRule="exact" w:line="560"/>
        <w:ind w:firstLine="640"/>
        <w:rPr>
          <w:sz w:val="32"/>
        </w:rPr>
      </w:pPr>
      <w:r>
        <w:rPr>
          <w:sz w:val="32"/>
        </w:rPr>
        <w:t>在</w:t>
      </w:r>
      <w:r>
        <w:rPr>
          <w:rFonts w:hint="eastAsia"/>
          <w:sz w:val="32"/>
        </w:rPr>
        <w:t>化工产业园（扩区部分）</w:t>
      </w:r>
      <w:r>
        <w:rPr>
          <w:sz w:val="32"/>
        </w:rPr>
        <w:t>内共建设2座公共事故应急池，作为园区层面的水污染防控设施，有效应对企业三级防控体系失效或公共区域事故状况。</w:t>
      </w:r>
      <w:r>
        <w:rPr>
          <w:rFonts w:cs="Times New Roman" w:hint="eastAsia"/>
          <w:sz w:val="32"/>
          <w:szCs w:val="28"/>
        </w:rPr>
        <w:t>化工产业园两区距离均较近，可考虑将两区公共事故池相连，在极端情况下，将事故池联通使用，有效应对特大事故下的事故废水收集储存。</w:t>
      </w:r>
    </w:p>
    <w:p w14:paraId="7E9F3805">
      <w:pPr>
        <w:pStyle w:val="style0"/>
        <w:spacing w:lineRule="exact" w:line="560"/>
        <w:ind w:firstLine="640"/>
        <w:rPr>
          <w:sz w:val="32"/>
        </w:rPr>
      </w:pPr>
      <w:r>
        <w:rPr>
          <w:sz w:val="32"/>
        </w:rPr>
        <w:t>另外，园区结合临港开发区水系情况，按照风险防范的要求对区域防洪除涝体系进行优化，通过海堤和水闸作为园区的最后一道防线，防止事故废水流入黄海。</w:t>
      </w:r>
    </w:p>
    <w:bookmarkStart w:id="160" w:name="_Toc22547"/>
    <w:bookmarkStart w:id="161" w:name="_Toc12783"/>
    <w:bookmarkStart w:id="162" w:name="_Toc597"/>
    <w:p w14:paraId="3D351792">
      <w:pPr>
        <w:pStyle w:val="style2"/>
        <w:spacing w:lineRule="exact" w:line="560"/>
        <w:rPr>
          <w:rFonts w:hint="default"/>
          <w:sz w:val="32"/>
        </w:rPr>
      </w:pPr>
      <w:r>
        <w:rPr>
          <w:sz w:val="32"/>
        </w:rPr>
        <w:t>5.9信息化平台建设</w:t>
      </w:r>
      <w:bookmarkEnd w:id="160"/>
      <w:bookmarkEnd w:id="161"/>
      <w:r>
        <w:rPr>
          <w:sz w:val="32"/>
        </w:rPr>
        <w:t>规划</w:t>
      </w:r>
      <w:bookmarkEnd w:id="162"/>
    </w:p>
    <w:p w14:paraId="38D60A57">
      <w:pPr>
        <w:pStyle w:val="style0"/>
        <w:spacing w:lineRule="exact" w:line="560"/>
        <w:ind w:firstLine="640"/>
        <w:rPr>
          <w:sz w:val="32"/>
        </w:rPr>
      </w:pPr>
      <w:r>
        <w:rPr>
          <w:rFonts w:hint="eastAsia"/>
          <w:sz w:val="32"/>
        </w:rPr>
        <w:t>化工产业园（扩区部分）建成后，对园区现有区域与扩建区域企业进行统一管理，依据</w:t>
      </w:r>
      <w:r>
        <w:rPr>
          <w:sz w:val="32"/>
        </w:rPr>
        <w:t>《智慧化工园区建设规范》（DB32/T4454-2023）</w:t>
      </w:r>
      <w:r>
        <w:rPr>
          <w:rFonts w:hint="eastAsia"/>
          <w:sz w:val="32"/>
        </w:rPr>
        <w:t>、《化工园区安全风险智能化管控平台建设指南（试行）》等规范对园区智慧平台进行提档升级，将现有区域数据库与扩建区域数据库进行</w:t>
      </w:r>
      <w:r>
        <w:rPr>
          <w:sz w:val="32"/>
        </w:rPr>
        <w:t>深度融合，提升</w:t>
      </w:r>
      <w:r>
        <w:rPr>
          <w:rFonts w:hint="eastAsia"/>
          <w:sz w:val="32"/>
        </w:rPr>
        <w:t>各项功能</w:t>
      </w:r>
      <w:r>
        <w:rPr>
          <w:sz w:val="32"/>
        </w:rPr>
        <w:t>集成度</w:t>
      </w:r>
      <w:r>
        <w:rPr>
          <w:rFonts w:hint="eastAsia"/>
          <w:sz w:val="32"/>
        </w:rPr>
        <w:t>，实现</w:t>
      </w:r>
      <w:r>
        <w:rPr>
          <w:sz w:val="32"/>
        </w:rPr>
        <w:t>园区</w:t>
      </w:r>
      <w:r>
        <w:rPr>
          <w:rFonts w:hint="eastAsia"/>
          <w:sz w:val="32"/>
        </w:rPr>
        <w:t>“两个片区”</w:t>
      </w:r>
      <w:r>
        <w:rPr>
          <w:sz w:val="32"/>
        </w:rPr>
        <w:t>安全、应急、环保、能源、封闭化等工作“一张图”管控</w:t>
      </w:r>
      <w:r>
        <w:rPr>
          <w:rFonts w:hint="eastAsia"/>
          <w:sz w:val="32"/>
        </w:rPr>
        <w:t>，做到统一调配、协同发展，</w:t>
      </w:r>
      <w:r>
        <w:rPr>
          <w:sz w:val="32"/>
        </w:rPr>
        <w:t>提高园区监管智能化水平，有效降低和预防各类突发环境污染事件的发生。</w:t>
      </w:r>
    </w:p>
    <w:bookmarkEnd w:id="134"/>
    <w:bookmarkEnd w:id="135"/>
    <w:bookmarkEnd w:id="136"/>
    <w:bookmarkEnd w:id="137"/>
    <w:bookmarkEnd w:id="141"/>
    <w:p w14:paraId="06577E55">
      <w:pPr>
        <w:pStyle w:val="style0"/>
        <w:spacing w:lineRule="exact" w:line="560"/>
        <w:ind w:firstLine="640"/>
        <w:rPr>
          <w:rFonts w:cs="Times New Roman"/>
          <w:sz w:val="32"/>
          <w:szCs w:val="28"/>
        </w:rPr>
      </w:pPr>
      <w:r>
        <w:rPr>
          <w:rFonts w:cs="Times New Roman"/>
          <w:sz w:val="32"/>
          <w:szCs w:val="28"/>
        </w:rPr>
        <w:br w:type="page"/>
      </w:r>
    </w:p>
    <w:bookmarkStart w:id="163" w:name="_Toc19255"/>
    <w:bookmarkStart w:id="164" w:name="_Toc11479"/>
    <w:bookmarkStart w:id="165" w:name="_Toc154304827"/>
    <w:bookmarkStart w:id="166" w:name="_Toc10814"/>
    <w:p w14:paraId="6596245F">
      <w:pPr>
        <w:pStyle w:val="style1"/>
        <w:spacing w:lineRule="exact" w:line="560"/>
        <w:rPr>
          <w:rFonts w:hint="default"/>
        </w:rPr>
      </w:pPr>
      <w:r>
        <w:t>六、园区管理机构设置方案及其管理工作方案</w:t>
      </w:r>
      <w:bookmarkEnd w:id="163"/>
      <w:bookmarkEnd w:id="164"/>
      <w:bookmarkEnd w:id="165"/>
      <w:bookmarkEnd w:id="166"/>
    </w:p>
    <w:p w14:paraId="4BFE31C5">
      <w:pPr>
        <w:pStyle w:val="style0"/>
        <w:spacing w:lineRule="exact" w:line="560"/>
        <w:ind w:firstLine="640"/>
        <w:rPr>
          <w:sz w:val="32"/>
        </w:rPr>
      </w:pPr>
      <w:r>
        <w:rPr>
          <w:rFonts w:hint="eastAsia"/>
          <w:sz w:val="32"/>
        </w:rPr>
        <w:t>灌云县临港产业区化工产业园（扩区部分）建成后，由灌云县临港产业区化工产业园管理办公室进行统一管理。</w:t>
      </w:r>
    </w:p>
    <w:p w14:paraId="71C82390">
      <w:pPr>
        <w:pStyle w:val="style0"/>
        <w:spacing w:lineRule="exact" w:line="560"/>
        <w:ind w:firstLine="640"/>
        <w:rPr>
          <w:sz w:val="32"/>
        </w:rPr>
      </w:pPr>
      <w:r>
        <w:rPr>
          <w:rFonts w:hint="eastAsia"/>
          <w:sz w:val="32"/>
        </w:rPr>
        <w:t>2005年11月25日，灌云县人民政府经研究决定组建灌云经济开发区和灌云县临港产业区管委会。2021年12月20日，中共灌云县委机构编制委员会决定将灌云县临港产业区管理委员会更名为灌云县临港产业区管理办公室，正科级编制，为灌云县政府的派出机构，</w:t>
      </w:r>
      <w:r>
        <w:rPr>
          <w:sz w:val="32"/>
        </w:rPr>
        <w:t>具备安全生产、环境保护、应急救援等方面有效管理能力</w:t>
      </w:r>
      <w:r>
        <w:rPr>
          <w:rFonts w:hint="eastAsia"/>
          <w:sz w:val="32"/>
        </w:rPr>
        <w:t>。</w:t>
      </w:r>
    </w:p>
    <w:p w14:paraId="260932B7">
      <w:pPr>
        <w:pStyle w:val="style0"/>
        <w:spacing w:lineRule="exact" w:line="560"/>
        <w:ind w:firstLine="640"/>
        <w:rPr>
          <w:rFonts w:eastAsia="宋体"/>
          <w:sz w:val="32"/>
        </w:rPr>
      </w:pPr>
      <w:r>
        <w:rPr>
          <w:rFonts w:hint="eastAsia"/>
          <w:sz w:val="32"/>
        </w:rPr>
        <w:t>根据《江苏省化工安全环保产业整治提升方案》(苏办〔2019〕96号)、《市委办公室市政府办公室关于印发&lt;连云港市化工产业安全环保整治提升实施方案&gt;的通知》(连委办发〔2019〕96号)精神，为加快推进灌云县临港产业区化工产业园提升改造，进一步强化责任落实和长效管理，推动灌云县临港产业区化工产业园化工产业转型升级和高质量发展，打造全省化工园区建设管理样板，经研究决定，设立灌云县临港产业区化工产业园管理办公室，正科级建制。</w:t>
      </w:r>
    </w:p>
    <w:p w14:paraId="49EB636E">
      <w:pPr>
        <w:pStyle w:val="style0"/>
        <w:spacing w:lineRule="exact" w:line="560"/>
        <w:ind w:firstLine="640"/>
        <w:rPr>
          <w:sz w:val="32"/>
        </w:rPr>
      </w:pPr>
      <w:r>
        <w:rPr>
          <w:rFonts w:hint="eastAsia"/>
          <w:sz w:val="32"/>
        </w:rPr>
        <w:t>灌云县临港产业区化工产业园管理办公室贯彻中央关于化工园区管理工作的方针政策和省委、省政府、连云港市委、市政府和灌云县委、县政府的决策部暑，在履行职责过程中坚持和加强党对化工产业园工作的集中统一领导。灌云县临港产业区化工产业园管理办公室设置6个内设机构：</w:t>
      </w:r>
      <w:r>
        <w:rPr>
          <w:sz w:val="32"/>
        </w:rPr>
        <w:t>综合科、应急管理科、生态环境科、经济发展科、信息化科</w:t>
      </w:r>
      <w:r>
        <w:rPr>
          <w:rFonts w:hint="eastAsia"/>
          <w:sz w:val="32"/>
        </w:rPr>
        <w:t>（</w:t>
      </w:r>
      <w:r>
        <w:rPr>
          <w:sz w:val="32"/>
        </w:rPr>
        <w:t>指挥中心</w:t>
      </w:r>
      <w:r>
        <w:rPr>
          <w:rFonts w:hint="eastAsia"/>
          <w:sz w:val="32"/>
        </w:rPr>
        <w:t>）、招商引资科，均为正股级建制。</w:t>
      </w:r>
    </w:p>
    <w:p w14:paraId="665261B4">
      <w:pPr>
        <w:pStyle w:val="style0"/>
        <w:spacing w:lineRule="exact" w:line="560"/>
        <w:ind w:firstLine="640"/>
        <w:rPr>
          <w:sz w:val="32"/>
        </w:rPr>
      </w:pPr>
      <w:r>
        <w:rPr>
          <w:rFonts w:hint="eastAsia"/>
          <w:sz w:val="32"/>
        </w:rPr>
        <w:t>未来园区将根据企业入驻情况，按照《化工园区安全风险排查治理导则》(应急〔2023〕123号)、《江苏省危险化学品安全专项整治三年行动实施方案》等规范持续补充配备安全监管人员。</w:t>
      </w:r>
    </w:p>
    <w:sectPr>
      <w:headerReference w:type="default" r:id="rId20"/>
      <w:footerReference w:type="default" r:id="rId21"/>
      <w:pgSz w:w="11906" w:h="16838" w:orient="portrait"/>
      <w:pgMar w:top="1440" w:right="1803" w:bottom="1440" w:left="1803" w:header="851" w:footer="992" w:gutter="0"/>
      <w:cols w:space="0" w:num="1"/>
      <w:docGrid w:type="lines"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7a"/>
    <w:family w:val="auto"/>
    <w:pitch w:val="default"/>
    <w:sig w:usb0="E0002EFF" w:usb1="C000785B" w:usb2="00000009" w:usb3="00000000" w:csb0="400001FF" w:csb1="FFFF0000"/>
  </w:font>
  <w:font w:name="宋体">
    <w:altName w:val="宋体"/>
    <w:panose1 w:val="02010600030001010101"/>
    <w:charset w:val="34"/>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_GB2312"/>
    <w:panose1 w:val="02010609030001010101"/>
    <w:charset w:val="86"/>
    <w:family w:val="modern"/>
    <w:pitch w:val="default"/>
    <w:sig w:usb0="00000001" w:usb1="080E0000" w:usb2="00000000" w:usb3="00000000" w:csb0="00040000" w:csb1="00000000"/>
  </w:font>
  <w:font w:name="方正楷体_GBK">
    <w:altName w:val="方正楷体_GBK"/>
    <w:panose1 w:val="02000000000000000000"/>
    <w:charset w:val="86"/>
    <w:family w:val="auto"/>
    <w:pitch w:val="default"/>
    <w:sig w:usb0="800002BF" w:usb1="38CF7CFA" w:usb2="00000016" w:usb3="00000000" w:csb0="00040000" w:csb1="00000000"/>
  </w:font>
  <w:font w:name="FangSong_GB2312">
    <w:altName w:val="仿宋_GB2312"/>
    <w:panose1 w:val="02010609030001010101"/>
    <w:charset w:val="86"/>
    <w:family w:val="auto"/>
    <w:pitch w:val="default"/>
    <w:sig w:usb0="00000000" w:usb1="00000000" w:usb2="00000000" w:usb3="00000000" w:csb0="00040000" w:csb1="00000000"/>
  </w:font>
  <w:font w:name="方正小标宋简体">
    <w:altName w:val="方正小标宋简体"/>
    <w:panose1 w:val="02000000000000000000"/>
    <w:charset w:val="86"/>
    <w:family w:val="auto"/>
    <w:pitch w:val="default"/>
    <w:sig w:usb0="00000001" w:usb1="08000000" w:usb2="00000000" w:usb3="00000000" w:csb0="00040000" w:csb1="00000000"/>
  </w:font>
  <w:font w:name="楷体">
    <w:altName w:val="楷体"/>
    <w:panose1 w:val="02010609060001010101"/>
    <w:charset w:val="86"/>
    <w:family w:val="auto"/>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Calibri Light">
    <w:altName w:val="Calibri Light"/>
    <w:panose1 w:val="020f0302020002030204"/>
    <w:charset w:val="00"/>
    <w:family w:val="swiss"/>
    <w:pitch w:val="default"/>
    <w:sig w:usb0="E4002EFF" w:usb1="C200247B" w:usb2="00000009" w:usb3="00000000" w:csb0="200001FF" w:csb1="00000000"/>
  </w:font>
  <w:font w:name="方正小标宋_GBK">
    <w:altName w:val="方正小标宋_GBK"/>
    <w:panose1 w:val="02000000000000000000"/>
    <w:charset w:val="86"/>
    <w:family w:val="auto"/>
    <w:pitch w:val="default"/>
    <w:sig w:usb0="A00002BF" w:usb1="38CF7CFA" w:usb2="00082016"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footer1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CE0CCCD">
    <w:pPr>
      <w:pStyle w:val="style32"/>
      <w:ind w:firstLine="420"/>
      <w:rPr>
        <w:sz w:val="21"/>
        <w:szCs w:val="21"/>
      </w:rPr>
    </w:pPr>
    <w:r>
      <w:rPr>
        <w:sz w:val="21"/>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061263C3">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24</w:t>
                          </w:r>
                          <w:r>
                            <w:rPr>
                              <w:sz w:val="28"/>
                              <w:szCs w:val="28"/>
                            </w:rPr>
                            <w:fldChar w:fldCharType="end"/>
                          </w:r>
                          <w:r>
                            <w:rPr>
                              <w:sz w:val="28"/>
                              <w:szCs w:val="28"/>
                            </w:rPr>
                            <w:t xml:space="preserve"> —</w:t>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061263C3">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24</w:t>
                    </w:r>
                    <w:r>
                      <w:rPr>
                        <w:sz w:val="28"/>
                        <w:szCs w:val="28"/>
                      </w:rPr>
                      <w:fldChar w:fldCharType="end"/>
                    </w:r>
                    <w:r>
                      <w:rPr>
                        <w:sz w:val="28"/>
                        <w:szCs w:val="28"/>
                      </w:rPr>
                      <w:t xml:space="preserve"> —</w:t>
                    </w:r>
                  </w:p>
                </w:txbxContent>
              </v:textbox>
            </v:rect>
          </w:pict>
        </mc:Fallback>
      </mc:AlternateContent>
    </w:r>
  </w:p>
</w:ftr>
</file>

<file path=word/footer1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4A8451D">
    <w:pPr>
      <w:pStyle w:val="style32"/>
      <w:ind w:firstLine="420"/>
      <w:rPr>
        <w:sz w:val="21"/>
        <w:szCs w:val="21"/>
      </w:rPr>
    </w:pPr>
    <w:r>
      <w:rPr>
        <w:sz w:val="21"/>
      </w:rPr>
      <mc:AlternateContent>
        <mc:Choice Requires="wps">
          <w:drawing>
            <wp:anchor distT="0" distB="0" distL="0" distR="0" simplePos="false" relativeHeight="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9" name="文本框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14:paraId="65F3D6D4">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32</w:t>
                          </w:r>
                          <w:r>
                            <w:rPr>
                              <w:sz w:val="28"/>
                              <w:szCs w:val="28"/>
                            </w:rPr>
                            <w:fldChar w:fldCharType="end"/>
                          </w:r>
                          <w:r>
                            <w:rPr>
                              <w:sz w:val="28"/>
                              <w:szCs w:val="28"/>
                            </w:rPr>
                            <w:t xml:space="preserve"> —</w:t>
                          </w:r>
                        </w:p>
                      </w:txbxContent>
                    </wps:txbx>
                    <wps:bodyPr lIns="0" rIns="0" tIns="0" bIns="0" vert="horz" anchor="t" wrap="none">
                      <a:prstTxWarp prst="textNoShape"/>
                      <a:spAutoFit/>
                    </wps:bodyPr>
                  </wps:wsp>
                </a:graphicData>
              </a:graphic>
            </wp:anchor>
          </w:drawing>
        </mc:Choice>
        <mc:Fallback>
          <w:pict>
            <v:rect id="4099" filled="f" stroked="f" style="position:absolute;margin-left:0.0pt;margin-top:0.0pt;width:144.0pt;height:144.0pt;z-index:4;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65F3D6D4">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32</w:t>
                    </w:r>
                    <w:r>
                      <w:rPr>
                        <w:sz w:val="28"/>
                        <w:szCs w:val="28"/>
                      </w:rPr>
                      <w:fldChar w:fldCharType="end"/>
                    </w:r>
                    <w:r>
                      <w:rPr>
                        <w:sz w:val="28"/>
                        <w:szCs w:val="28"/>
                      </w:rPr>
                      <w:t xml:space="preserve"> —</w:t>
                    </w:r>
                  </w:p>
                </w:txbxContent>
              </v:textbox>
            </v:rect>
          </w:pict>
        </mc:Fallback>
      </mc:AlternateConten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8A42904">
    <w:pPr>
      <w:pStyle w:val="style32"/>
      <w:ind w:firstLine="36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591293A">
    <w:pPr>
      <w:pStyle w:val="style32"/>
      <w:ind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1A3C104">
    <w:pPr>
      <w:pStyle w:val="style32"/>
      <w:ind w:firstLine="360"/>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331CA23">
    <w:pPr>
      <w:pStyle w:val="style32"/>
      <w:ind w:firstLine="420"/>
      <w:rPr>
        <w:sz w:val="21"/>
        <w:szCs w:val="21"/>
      </w:rPr>
    </w:pP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9DA92A1">
    <w:pPr>
      <w:pStyle w:val="style32"/>
      <w:ind w:firstLine="420"/>
      <w:rPr>
        <w:sz w:val="21"/>
        <w:szCs w:val="21"/>
      </w:rPr>
    </w:pPr>
    <w:r>
      <w:rPr>
        <w:sz w:val="21"/>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2C46B213">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2C46B213">
                    <w:pPr>
                      <w:pStyle w:val="style3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C74C38C">
    <w:pPr>
      <w:pStyle w:val="style31"/>
      <w:ind w:firstLine="360"/>
      <w:rPr/>
    </w:pPr>
  </w:p>
</w:hdr>
</file>

<file path=word/header1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DAEB4D1">
    <w:pPr>
      <w:pStyle w:val="style31"/>
      <w:pBdr>
        <w:bottom w:val="none" w:sz="0" w:space="1" w:color="auto"/>
      </w:pBdr>
      <w:ind w:firstLine="360"/>
      <w:rPr/>
    </w:pPr>
  </w:p>
</w:hdr>
</file>

<file path=word/header1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5456C4E">
    <w:pPr>
      <w:pStyle w:val="style31"/>
      <w:pBdr>
        <w:bottom w:val="none" w:sz="0" w:space="1" w:color="auto"/>
      </w:pBdr>
      <w:ind w:firstLine="36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57F38E9">
    <w:pPr>
      <w:pStyle w:val="style31"/>
      <w:pBdr>
        <w:bottom w:val="none" w:sz="0" w:space="0" w:color="auto"/>
      </w:pBdr>
      <w:ind w:firstLine="36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A0CDDA8">
    <w:pPr>
      <w:pStyle w:val="style31"/>
      <w:ind w:firstLine="360"/>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89007CA">
    <w:pPr>
      <w:pStyle w:val="style31"/>
      <w:pBdr>
        <w:bottom w:val="none" w:sz="0" w:space="1" w:color="auto"/>
      </w:pBdr>
      <w:ind w:firstLine="3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D15A19BB"/>
    <w:lvl w:ilvl="0">
      <w:start w:val="3"/>
      <w:numFmt w:val="chineseCounting"/>
      <w:suff w:val="nothing"/>
      <w:lvlText w:val="%1、"/>
      <w:lvlJc w:val="left"/>
      <w:pPr/>
      <w:rPr>
        <w:rFonts w:hint="eastAsia"/>
      </w:rPr>
    </w:lvl>
  </w:abstractNum>
  <w:abstractNum w:abstractNumId="1">
    <w:nsid w:val="00000001"/>
    <w:multiLevelType w:val="multilevel"/>
    <w:tmpl w:val="187B4B85"/>
    <w:lvl w:ilvl="0">
      <w:start w:val="1"/>
      <w:numFmt w:val="decimal"/>
      <w:isLgl/>
      <w:suff w:val="space"/>
      <w:lvlText w:val="%1"/>
      <w:lvlJc w:val="left"/>
      <w:pPr>
        <w:ind w:left="0" w:firstLine="0"/>
      </w:pPr>
      <w:rPr>
        <w:rFonts w:hint="eastAsia"/>
      </w:rPr>
    </w:lvl>
    <w:lvl w:ilvl="1">
      <w:start w:val="1"/>
      <w:numFmt w:val="decimal"/>
      <w:pStyle w:val="style4134"/>
      <w:isLgl/>
      <w:suff w:val="space"/>
      <w:lvlText w:val="%1.%2"/>
      <w:lvlJc w:val="left"/>
      <w:pPr>
        <w:ind w:left="0" w:firstLine="0"/>
      </w:pPr>
      <w:rPr>
        <w:rFonts w:hint="eastAsia"/>
      </w:rPr>
    </w:lvl>
    <w:lvl w:ilvl="2">
      <w:start w:val="1"/>
      <w:numFmt w:val="decimal"/>
      <w:isLgl/>
      <w:suff w:val="space"/>
      <w:lvlText w:val="%1.%2.%3"/>
      <w:lvlJc w:val="left"/>
      <w:pPr>
        <w:ind w:left="480" w:firstLine="0"/>
      </w:pPr>
      <w:rPr>
        <w:rFonts w:ascii="Times New Roman" w:hAnsi="Times New Roman" w:hint="default"/>
        <w:b/>
        <w:bCs w:val="false"/>
        <w:i w:val="false"/>
        <w:iCs w:val="false"/>
        <w:caps w:val="false"/>
        <w:smallCaps w:val="false"/>
        <w:vanish w:val="false"/>
        <w:spacing w:val="0"/>
        <w:position w:val="0"/>
        <w:u w:val="none"/>
        <w:vertAlign w:val="baseline"/>
        <w14:glow w14:rad="0">
          <w14:srgbClr w14:val="000000"/>
        </w14:glow>
        <w14:shadow w14:blurRad="0" w14:ky="0" w14:dir="0" w14:kx="0" w14:algn="none" w14:sy="0" w14:sx="0" w14:dist="0">
          <w14:srgbClr w14:val="000000"/>
        </w14:shadow>
        <w14:reflection w14:blurRad="0" w14:stA="0" w14:stPos="0" w14:endA="0" w14:endPos="0" w14:dist="0" w14:dir="0" w14:fadeDir="0" w14:sx="0" w14:sy="0" w14:kx="0" w14:ky="0" w14:algn="none" w14:rotWithShape="true"/>
        <w14:scene3d xmlns:w14="http://schemas.microsoft.com/office/word/2010/wordml">
          <w14:lightRig w14:rig="threePt" w14:dir="t">
            <w14:rot w14:lat="0" w14:lon="0" w14:rev="0"/>
          </w14:lightRig>
        </w14:scene3d>
        <w14:props3d xmlns:w14="http://schemas.microsoft.com/office/word/2010/wordml" w14:extrusionH="0" w14:contourW="0" w14:prstMaterial="none"/>
        <w14:ligatures xmlns:w14="http://schemas.microsoft.com/office/word/2010/wordml" w14:val="none"/>
        <w14:numForm xmlns:w14="http://schemas.microsoft.com/office/word/2010/wordml" w14:val="default"/>
        <w14:numSpacing xmlns:w14="http://schemas.microsoft.com/office/word/2010/wordml" w14:val="default"/>
      </w:rPr>
    </w:lvl>
    <w:lvl w:ilvl="3">
      <w:start w:val="1"/>
      <w:numFmt w:val="decimal"/>
      <w:isLgl/>
      <w:suff w:val="space"/>
      <w:lvlText w:val="%1.%2.%3.%4"/>
      <w:lvlJc w:val="left"/>
      <w:pPr>
        <w:ind w:left="0" w:firstLine="0"/>
      </w:pPr>
      <w:rPr>
        <w:b w:val="false"/>
        <w:bCs w:val="false"/>
        <w:i w:val="false"/>
        <w:iCs w:val="false"/>
        <w:caps w:val="false"/>
        <w:smallCaps w:val="false"/>
        <w:vanish w:val="false"/>
        <w:spacing w:val="0"/>
        <w:position w:val="0"/>
        <w:u w:val="none"/>
        <w:vertAlign w:val="baseline"/>
        <w14:glow w14:rad="0">
          <w14:srgbClr w14:val="000000"/>
        </w14:glow>
        <w14:shadow w14:blurRad="0" w14:ky="0" w14:dir="0" w14:kx="0" w14:algn="none" w14:sy="0" w14:sx="0" w14:dist="0">
          <w14:srgbClr w14:val="000000"/>
        </w14:shadow>
        <w14:reflection w14:blurRad="0" w14:stA="0" w14:stPos="0" w14:endA="0" w14:endPos="0" w14:dist="0" w14:dir="0" w14:fadeDir="0" w14:sx="0" w14:sy="0" w14:kx="0" w14:ky="0" w14:algn="none" w14:rotWithShape="true"/>
        <w14:scene3d xmlns:w14="http://schemas.microsoft.com/office/word/2010/wordml">
          <w14:lightRig w14:rig="threePt" w14:dir="t">
            <w14:rot w14:lat="0" w14:lon="0" w14:rev="0"/>
          </w14:lightRig>
        </w14:scene3d>
        <w14:props3d xmlns:w14="http://schemas.microsoft.com/office/word/2010/wordml" w14:extrusionH="0" w14:contourW="0" w14:prstMaterial="none"/>
        <w14:ligatures xmlns:w14="http://schemas.microsoft.com/office/word/2010/wordml" w14:val="none"/>
        <w14:numForm xmlns:w14="http://schemas.microsoft.com/office/word/2010/wordml" w14:val="default"/>
        <w14:numSpacing xmlns:w14="http://schemas.microsoft.com/office/word/2010/wordml" w14:val="default"/>
      </w:rPr>
    </w:lvl>
    <w:lvl w:ilvl="4">
      <w:start w:val="1"/>
      <w:numFmt w:val="decimal"/>
      <w:isLgl/>
      <w:suff w:val="space"/>
      <w:lvlText w:val="%1.%2.%3.%4.%5"/>
      <w:lvlJc w:val="left"/>
      <w:pPr>
        <w:ind w:left="0" w:firstLine="0"/>
      </w:pPr>
      <w:rPr>
        <w:rFonts w:hint="eastAsia"/>
      </w:rPr>
    </w:lvl>
    <w:lvl w:ilvl="5">
      <w:start w:val="1"/>
      <w:numFmt w:val="decimal"/>
      <w:suff w:val="space"/>
      <w:lvlText w:val="表 %1.%2-%6"/>
      <w:lvlJc w:val="left"/>
      <w:pPr>
        <w:ind w:left="0" w:firstLine="0"/>
      </w:pPr>
      <w:rPr>
        <w:rFonts w:hint="eastAsia"/>
        <w:b/>
        <w:bCs/>
        <w:i w:val="false"/>
        <w:iCs w:val="false"/>
        <w:caps w:val="false"/>
        <w:smallCaps w:val="false"/>
        <w:vanish w:val="false"/>
        <w:spacing w:val="0"/>
        <w:position w:val="0"/>
        <w:u w:val="none"/>
        <w:vertAlign w:val="baseline"/>
        <w:lang w:val="en-US"/>
        <w14:glow w14:rad="0">
          <w14:srgbClr w14:val="000000"/>
        </w14:glow>
        <w14:shadow w14:blurRad="0" w14:ky="0" w14:dir="0" w14:kx="0" w14:algn="none" w14:sy="0" w14:sx="0" w14:dist="0">
          <w14:srgbClr w14:val="000000"/>
        </w14:shadow>
        <w14:reflection w14:blurRad="0" w14:stA="0" w14:stPos="0" w14:endA="0" w14:endPos="0" w14:dist="0" w14:dir="0" w14:fadeDir="0" w14:sx="0" w14:sy="0" w14:kx="0" w14:ky="0" w14:algn="none" w14:rotWithShape="true"/>
        <w14:scene3d xmlns:w14="http://schemas.microsoft.com/office/word/2010/wordml">
          <w14:lightRig w14:rig="threePt" w14:dir="t">
            <w14:rot w14:lat="0" w14:lon="0" w14:rev="0"/>
          </w14:lightRig>
        </w14:scene3d>
        <w14:props3d xmlns:w14="http://schemas.microsoft.com/office/word/2010/wordml" w14:extrusionH="0" w14:contourW="0" w14:prstMaterial="none"/>
        <w14:ligatures xmlns:w14="http://schemas.microsoft.com/office/word/2010/wordml" w14:val="none"/>
        <w14:numForm xmlns:w14="http://schemas.microsoft.com/office/word/2010/wordml" w14:val="default"/>
        <w14:numSpacing xmlns:w14="http://schemas.microsoft.com/office/word/2010/wordml" w14:val="default"/>
      </w:rPr>
    </w:lvl>
    <w:lvl w:ilvl="6">
      <w:start w:val="1"/>
      <w:numFmt w:val="decimal"/>
      <w:suff w:val="space"/>
      <w:lvlText w:val="图 %1.%2-%7"/>
      <w:lvlJc w:val="left"/>
      <w:pPr>
        <w:ind w:left="0" w:firstLine="0"/>
      </w:pPr>
      <w:rPr>
        <w:rFonts w:hint="eastAsia"/>
        <w:b/>
        <w:bCs w:val="false"/>
        <w:i w:val="false"/>
        <w:iCs w:val="false"/>
        <w:caps w:val="false"/>
        <w:smallCaps w:val="false"/>
        <w:vanish w:val="false"/>
        <w:spacing w:val="0"/>
        <w:position w:val="0"/>
        <w:u w:val="none"/>
        <w:vertAlign w:val="baseline"/>
        <w14:glow w14:rad="0">
          <w14:srgbClr w14:val="000000"/>
        </w14:glow>
        <w14:shadow w14:blurRad="0" w14:ky="0" w14:dir="0" w14:kx="0" w14:algn="none" w14:sy="0" w14:sx="0" w14:dist="0">
          <w14:srgbClr w14:val="000000"/>
        </w14:shadow>
        <w14:reflection w14:blurRad="0" w14:stA="0" w14:stPos="0" w14:endA="0" w14:endPos="0" w14:dist="0" w14:dir="0" w14:fadeDir="0" w14:sx="0" w14:sy="0" w14:kx="0" w14:ky="0" w14:algn="none" w14:rotWithShape="true"/>
        <w14:scene3d xmlns:w14="http://schemas.microsoft.com/office/word/2010/wordml">
          <w14:lightRig w14:rig="threePt" w14:dir="t">
            <w14:rot w14:lat="0" w14:lon="0" w14:rev="0"/>
          </w14:lightRig>
        </w14:scene3d>
        <w14:props3d xmlns:w14="http://schemas.microsoft.com/office/word/2010/wordml" w14:extrusionH="0" w14:contourW="0" w14:prstMaterial="none"/>
        <w14:ligatures xmlns:w14="http://schemas.microsoft.com/office/word/2010/wordml" w14:val="none"/>
        <w14:numForm xmlns:w14="http://schemas.microsoft.com/office/word/2010/wordml" w14:val="default"/>
        <w14:numSpacing xmlns:w14="http://schemas.microsoft.com/office/word/2010/wordml" w14:val="default"/>
      </w:rPr>
    </w:lvl>
    <w:lvl w:ilvl="7">
      <w:start w:val="1"/>
      <w:numFmt w:val="decimal"/>
      <w:suff w:val="nothing"/>
      <w:lvlText w:val="（%8）"/>
      <w:lvlJc w:val="left"/>
      <w:pPr>
        <w:ind w:left="450" w:firstLine="0"/>
      </w:pPr>
      <w:rPr>
        <w:rFonts w:hint="eastAsia"/>
      </w:rPr>
    </w:lvl>
    <w:lvl w:ilvl="8">
      <w:start w:val="1"/>
      <w:numFmt w:val="decimal"/>
      <w:lvlText w:val="%1.%2.%3.%4.%5.%6.%7.%8.%9."/>
      <w:lvlJc w:val="left"/>
      <w:pPr>
        <w:ind w:left="1559" w:hanging="1559"/>
      </w:pPr>
      <w:rPr>
        <w:rFonts w:hint="eastAsia"/>
      </w:rPr>
    </w:lvl>
  </w:abstractNum>
  <w:abstractNum w:abstractNumId="2">
    <w:nsid w:val="00000002"/>
    <w:multiLevelType w:val="multilevel"/>
    <w:tmpl w:val="5C36523C"/>
    <w:lvl w:ilvl="0">
      <w:start w:val="1"/>
      <w:numFmt w:val="decimal"/>
      <w:lvlText w:val="%1"/>
      <w:lvlJc w:val="left"/>
      <w:pPr>
        <w:ind w:left="432" w:hanging="432"/>
      </w:pPr>
    </w:lvl>
    <w:lvl w:ilvl="1">
      <w:start w:val="1"/>
      <w:numFmt w:val="decimal"/>
      <w:lvlText w:val="%1.%2"/>
      <w:lvlJc w:val="left"/>
      <w:pPr>
        <w:ind w:left="816" w:hanging="576"/>
      </w:pPr>
    </w:lvl>
    <w:lvl w:ilvl="2">
      <w:start w:val="1"/>
      <w:numFmt w:val="decimal"/>
      <w:lvlText w:val="%1.%2.%3"/>
      <w:lvlJc w:val="left"/>
      <w:pPr>
        <w:ind w:left="720" w:hanging="720"/>
      </w:pPr>
      <w:rPr>
        <w:rFonts w:hint="default"/>
        <w:b/>
        <w:bCs/>
      </w:rPr>
    </w:lvl>
    <w:lvl w:ilvl="3">
      <w:start w:val="1"/>
      <w:numFmt w:val="decimal"/>
      <w:pStyle w:val="style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0000003"/>
    <w:multiLevelType w:val="singleLevel"/>
    <w:tmpl w:val="60B60B0F"/>
    <w:lvl w:ilvl="0">
      <w:start w:val="6"/>
      <w:numFmt w:val="decimal"/>
      <w:suff w:val="nothing"/>
      <w:lvlText w:val="（%1）"/>
      <w:lvlJc w:val="left"/>
      <w:pPr/>
    </w:lvl>
  </w:abstractNum>
  <w:num w:numId="1">
    <w:abstractNumId w:val="2"/>
  </w:num>
  <w:num w:numId="2">
    <w:abstractNumId w:val="1"/>
  </w:num>
  <w:num w:numId="3">
    <w:abstractNumId w:val="0"/>
  </w:num>
  <w:num w:numId="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0"/>
  <w:embedTrueTypeFonts/>
  <w:saveSubsetFonts/>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280"/>
  <w:drawingGridVerticalSpacing w:val="194"/>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spacing w:lineRule="auto" w:line="360"/>
      <w:ind w:firstLine="560" w:firstLineChars="200"/>
      <w:jc w:val="both"/>
    </w:pPr>
    <w:rPr>
      <w:rFonts w:ascii="Times New Roman" w:cs="宋体" w:eastAsia="仿宋_GB2312" w:hAnsi="Times New Roman"/>
      <w:kern w:val="2"/>
      <w:sz w:val="28"/>
      <w:szCs w:val="22"/>
      <w:lang w:val="en-US" w:bidi="ar-SA" w:eastAsia="zh-CN"/>
    </w:rPr>
  </w:style>
  <w:style w:type="paragraph" w:styleId="style1">
    <w:name w:val="heading 1"/>
    <w:basedOn w:val="style0"/>
    <w:next w:val="style0"/>
    <w:link w:val="style4100"/>
    <w:qFormat/>
    <w:uiPriority w:val="0"/>
    <w:pPr>
      <w:spacing w:before="240" w:after="240"/>
      <w:ind w:firstLine="0" w:firstLineChars="0"/>
      <w:outlineLvl w:val="0"/>
    </w:pPr>
    <w:rPr>
      <w:rFonts w:cs="Times New Roman" w:hint="eastAsia"/>
      <w:b/>
      <w:bCs/>
      <w:kern w:val="44"/>
      <w:sz w:val="30"/>
      <w:szCs w:val="48"/>
    </w:rPr>
  </w:style>
  <w:style w:type="paragraph" w:styleId="style2">
    <w:name w:val="heading 2"/>
    <w:basedOn w:val="style0"/>
    <w:next w:val="style0"/>
    <w:link w:val="style4101"/>
    <w:qFormat/>
    <w:uiPriority w:val="0"/>
    <w:pPr>
      <w:spacing w:before="120" w:after="120"/>
      <w:ind w:firstLine="0" w:firstLineChars="0"/>
      <w:outlineLvl w:val="1"/>
    </w:pPr>
    <w:rPr>
      <w:rFonts w:cs="Times New Roman" w:hint="eastAsia"/>
      <w:b/>
      <w:bCs/>
      <w:kern w:val="0"/>
      <w:szCs w:val="36"/>
    </w:rPr>
  </w:style>
  <w:style w:type="paragraph" w:styleId="style3">
    <w:name w:val="heading 3"/>
    <w:basedOn w:val="style0"/>
    <w:next w:val="style0"/>
    <w:qFormat/>
    <w:uiPriority w:val="0"/>
    <w:pPr>
      <w:keepNext/>
      <w:keepLines/>
      <w:spacing w:before="120" w:after="120"/>
      <w:ind w:firstLine="0" w:firstLineChars="0"/>
      <w:outlineLvl w:val="2"/>
    </w:pPr>
    <w:rPr>
      <w:b/>
    </w:rPr>
  </w:style>
  <w:style w:type="paragraph" w:styleId="style4">
    <w:name w:val="heading 4"/>
    <w:basedOn w:val="style0"/>
    <w:next w:val="style0"/>
    <w:qFormat/>
    <w:uiPriority w:val="9"/>
    <w:pPr>
      <w:keepNext/>
      <w:keepLines/>
      <w:numPr>
        <w:ilvl w:val="3"/>
        <w:numId w:val="1"/>
      </w:numPr>
      <w:ind w:firstLine="0" w:firstLineChars="0"/>
      <w:outlineLvl w:val="3"/>
    </w:pPr>
    <w:rPr>
      <w:b/>
      <w:bCs/>
      <w:szCs w:val="28"/>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0">
    <w:name w:val="annotation text"/>
    <w:basedOn w:val="style0"/>
    <w:next w:val="style30"/>
    <w:qFormat/>
    <w:uiPriority w:val="0"/>
    <w:pPr>
      <w:jc w:val="left"/>
    </w:pPr>
    <w:rPr/>
  </w:style>
  <w:style w:type="paragraph" w:styleId="style66">
    <w:name w:val="Body Text"/>
    <w:basedOn w:val="style0"/>
    <w:next w:val="style0"/>
    <w:link w:val="style4118"/>
    <w:qFormat/>
    <w:uiPriority w:val="99"/>
    <w:pPr>
      <w:spacing w:after="120"/>
    </w:pPr>
    <w:rPr/>
  </w:style>
  <w:style w:type="paragraph" w:styleId="style21">
    <w:name w:val="toc 3"/>
    <w:basedOn w:val="style0"/>
    <w:next w:val="style0"/>
    <w:qFormat/>
    <w:uiPriority w:val="39"/>
    <w:pPr>
      <w:ind w:left="480" w:leftChars="200"/>
    </w:pPr>
    <w:rPr/>
  </w:style>
  <w:style w:type="paragraph" w:styleId="style153">
    <w:name w:val="Balloon Text"/>
    <w:basedOn w:val="style0"/>
    <w:next w:val="style153"/>
    <w:link w:val="style4114"/>
    <w:qFormat/>
    <w:uiPriority w:val="0"/>
    <w:pPr>
      <w:spacing w:lineRule="auto" w:line="240"/>
    </w:pPr>
    <w:rPr>
      <w:sz w:val="18"/>
      <w:szCs w:val="18"/>
    </w:rPr>
  </w:style>
  <w:style w:type="paragraph" w:styleId="style32">
    <w:name w:val="footer"/>
    <w:basedOn w:val="style0"/>
    <w:next w:val="style32"/>
    <w:link w:val="style4116"/>
    <w:qFormat/>
    <w:uiPriority w:val="99"/>
    <w:pPr>
      <w:tabs>
        <w:tab w:val="center" w:leader="none" w:pos="4153"/>
        <w:tab w:val="right" w:leader="none" w:pos="8306"/>
      </w:tabs>
      <w:snapToGrid w:val="false"/>
      <w:spacing w:lineRule="atLeast" w:line="240"/>
      <w:jc w:val="left"/>
    </w:pPr>
    <w:rPr>
      <w:sz w:val="18"/>
      <w:szCs w:val="18"/>
    </w:rPr>
  </w:style>
  <w:style w:type="paragraph" w:styleId="style31">
    <w:name w:val="header"/>
    <w:basedOn w:val="style0"/>
    <w:next w:val="style31"/>
    <w:link w:val="style4115"/>
    <w:qFormat/>
    <w:uiPriority w:val="0"/>
    <w:pPr>
      <w:pBdr>
        <w:bottom w:val="single" w:sz="6" w:space="1" w:color="auto"/>
      </w:pBdr>
      <w:tabs>
        <w:tab w:val="center" w:leader="none" w:pos="4153"/>
        <w:tab w:val="right" w:leader="none" w:pos="8306"/>
      </w:tabs>
      <w:snapToGrid w:val="false"/>
      <w:spacing w:lineRule="atLeast" w:line="240"/>
      <w:jc w:val="center"/>
    </w:pPr>
    <w:rPr>
      <w:sz w:val="18"/>
      <w:szCs w:val="18"/>
    </w:rPr>
  </w:style>
  <w:style w:type="paragraph" w:styleId="style19">
    <w:name w:val="toc 1"/>
    <w:basedOn w:val="style0"/>
    <w:next w:val="style0"/>
    <w:qFormat/>
    <w:uiPriority w:val="39"/>
    <w:pPr>
      <w:ind w:firstLine="0" w:firstLineChars="0"/>
    </w:pPr>
    <w:rPr/>
  </w:style>
  <w:style w:type="paragraph" w:styleId="style20">
    <w:name w:val="toc 2"/>
    <w:basedOn w:val="style0"/>
    <w:next w:val="style0"/>
    <w:qFormat/>
    <w:uiPriority w:val="39"/>
    <w:pPr>
      <w:ind w:left="480" w:leftChars="200" w:firstLine="0" w:firstLineChars="0"/>
    </w:pPr>
    <w:rPr/>
  </w:style>
  <w:style w:type="paragraph" w:styleId="style94">
    <w:name w:val="Normal (Web)"/>
    <w:basedOn w:val="style0"/>
    <w:next w:val="style94"/>
    <w:qFormat/>
    <w:uiPriority w:val="99"/>
    <w:pPr>
      <w:widowControl/>
      <w:spacing w:before="100" w:beforeAutospacing="true" w:after="100" w:afterAutospacing="true" w:lineRule="auto" w:line="240"/>
      <w:ind w:firstLine="0" w:firstLineChars="0"/>
      <w:jc w:val="left"/>
    </w:pPr>
    <w:rPr>
      <w:rFonts w:ascii="宋体" w:cs="宋体" w:hAnsi="宋体"/>
      <w:kern w:val="0"/>
      <w:szCs w:val="24"/>
    </w:rPr>
  </w:style>
  <w:style w:type="paragraph" w:styleId="style62">
    <w:name w:val="Title"/>
    <w:basedOn w:val="style0"/>
    <w:next w:val="style0"/>
    <w:qFormat/>
    <w:uiPriority w:val="0"/>
    <w:pPr>
      <w:ind w:firstLine="0" w:firstLineChars="0"/>
      <w:jc w:val="center"/>
    </w:pPr>
    <w:rPr>
      <w:b/>
      <w:bCs/>
      <w:kern w:val="28"/>
      <w:szCs w:val="32"/>
    </w:rPr>
  </w:style>
  <w:style w:type="table" w:styleId="style154">
    <w:name w:val="Table Grid"/>
    <w:basedOn w:val="style105"/>
    <w:next w:val="style154"/>
    <w:qFormat/>
    <w:uiPriority w:val="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qFormat/>
    <w:uiPriority w:val="99"/>
    <w:rPr>
      <w:color w:val="0000ff"/>
      <w:u w:val="single"/>
    </w:rPr>
  </w:style>
  <w:style w:type="character" w:styleId="style39">
    <w:name w:val="annotation reference"/>
    <w:basedOn w:val="style65"/>
    <w:next w:val="style39"/>
    <w:qFormat/>
    <w:uiPriority w:val="0"/>
    <w:rPr>
      <w:sz w:val="21"/>
      <w:szCs w:val="21"/>
    </w:rPr>
  </w:style>
  <w:style w:type="paragraph" w:customStyle="1" w:styleId="style4097">
    <w:name w:val="表格样式"/>
    <w:basedOn w:val="style0"/>
    <w:next w:val="style4097"/>
    <w:qFormat/>
    <w:uiPriority w:val="0"/>
    <w:pPr>
      <w:spacing w:lineRule="auto" w:line="240"/>
      <w:ind w:firstLine="0" w:firstLineChars="0"/>
      <w:jc w:val="center"/>
    </w:pPr>
    <w:rPr>
      <w:sz w:val="21"/>
    </w:rPr>
  </w:style>
  <w:style w:type="paragraph" w:customStyle="1" w:styleId="style4098">
    <w:name w:val="表格"/>
    <w:basedOn w:val="style0"/>
    <w:next w:val="style4098"/>
    <w:qFormat/>
    <w:uiPriority w:val="0"/>
    <w:pPr>
      <w:spacing w:lineRule="auto" w:line="240"/>
      <w:ind w:firstLine="0" w:firstLineChars="0"/>
      <w:jc w:val="center"/>
    </w:pPr>
    <w:rPr>
      <w:rFonts w:cs="Times New Roman" w:hint="eastAsia"/>
      <w:b/>
      <w:sz w:val="21"/>
    </w:rPr>
  </w:style>
  <w:style w:type="character" w:customStyle="1" w:styleId="style4099">
    <w:name w:val="标题 3 Char1"/>
    <w:next w:val="style4099"/>
    <w:qFormat/>
    <w:uiPriority w:val="0"/>
    <w:rPr>
      <w:rFonts w:ascii="Times New Roman" w:eastAsia="楷体_GB2312" w:hAnsi="Times New Roman"/>
      <w:b/>
      <w:spacing w:val="8"/>
      <w:kern w:val="0"/>
      <w:sz w:val="32"/>
      <w:lang w:val="en-US" w:eastAsia="zh-CN"/>
    </w:rPr>
  </w:style>
  <w:style w:type="character" w:customStyle="1" w:styleId="style4100">
    <w:name w:val="标题 1 字符"/>
    <w:next w:val="style4100"/>
    <w:link w:val="style1"/>
    <w:qFormat/>
    <w:uiPriority w:val="0"/>
    <w:rPr>
      <w:rFonts w:ascii="Times New Roman" w:cs="宋体" w:eastAsia="仿宋_GB2312" w:hAnsi="Times New Roman"/>
      <w:b/>
      <w:kern w:val="44"/>
      <w:sz w:val="30"/>
    </w:rPr>
  </w:style>
  <w:style w:type="character" w:customStyle="1" w:styleId="style4101">
    <w:name w:val="标题 2 字符"/>
    <w:next w:val="style4101"/>
    <w:link w:val="style2"/>
    <w:qFormat/>
    <w:uiPriority w:val="0"/>
    <w:rPr>
      <w:rFonts w:eastAsia="仿宋_GB2312"/>
      <w:b/>
      <w:bCs/>
      <w:sz w:val="28"/>
      <w:szCs w:val="36"/>
    </w:rPr>
  </w:style>
  <w:style w:type="paragraph" w:customStyle="1" w:styleId="style4102">
    <w:name w:val="Default"/>
    <w:basedOn w:val="style4103"/>
    <w:next w:val="style4102"/>
    <w:qFormat/>
    <w:uiPriority w:val="0"/>
    <w:pPr>
      <w:autoSpaceDE w:val="false"/>
      <w:autoSpaceDN w:val="false"/>
      <w:adjustRightInd w:val="false"/>
    </w:pPr>
    <w:rPr>
      <w:rFonts w:ascii="宋体" w:cs="宋体" w:hAnsi="宋体"/>
      <w:color w:val="000000"/>
      <w:sz w:val="24"/>
    </w:rPr>
  </w:style>
  <w:style w:type="paragraph" w:customStyle="1" w:styleId="style4103">
    <w:name w:val="标题 段落4级"/>
    <w:basedOn w:val="style4104"/>
    <w:next w:val="style4103"/>
    <w:qFormat/>
    <w:uiPriority w:val="0"/>
    <w:pPr>
      <w:spacing w:lineRule="exact" w:line="500"/>
      <w:outlineLvl w:val="3"/>
    </w:pPr>
    <w:rPr>
      <w:rFonts w:cs="Calibri" w:eastAsia="仿宋_GB2312"/>
      <w:b/>
      <w:kern w:val="2"/>
      <w:sz w:val="28"/>
      <w:szCs w:val="24"/>
    </w:rPr>
  </w:style>
  <w:style w:type="paragraph" w:customStyle="1" w:styleId="style4104">
    <w:name w:val="表头"/>
    <w:basedOn w:val="style0"/>
    <w:next w:val="style4104"/>
    <w:qFormat/>
    <w:uiPriority w:val="0"/>
    <w:pPr>
      <w:spacing w:lineRule="atLeast" w:line="320"/>
      <w:jc w:val="center"/>
    </w:pPr>
    <w:rPr>
      <w:rFonts w:cs="Times New Roman" w:eastAsia="黑体"/>
      <w:spacing w:val="-10"/>
      <w:kern w:val="0"/>
      <w:sz w:val="20"/>
      <w:szCs w:val="11"/>
    </w:rPr>
  </w:style>
  <w:style w:type="paragraph" w:customStyle="1" w:styleId="style4105">
    <w:name w:val="目录 61"/>
    <w:next w:val="style0"/>
    <w:qFormat/>
    <w:uiPriority w:val="0"/>
    <w:pPr>
      <w:wordWrap w:val="false"/>
      <w:ind w:left="1700"/>
      <w:jc w:val="both"/>
    </w:pPr>
    <w:rPr>
      <w:rFonts w:ascii="Calibri" w:cs="Times New Roman" w:eastAsia="宋体" w:hAnsi="Calibri"/>
      <w:sz w:val="21"/>
      <w:lang w:val="en-US" w:bidi="ar-SA" w:eastAsia="zh-CN"/>
    </w:rPr>
  </w:style>
  <w:style w:type="paragraph" w:styleId="style179">
    <w:name w:val="List Paragraph"/>
    <w:basedOn w:val="style0"/>
    <w:next w:val="style179"/>
    <w:qFormat/>
    <w:uiPriority w:val="34"/>
    <w:pPr>
      <w:ind w:firstLine="420"/>
    </w:pPr>
    <w:rPr/>
  </w:style>
  <w:style w:type="paragraph" w:customStyle="1" w:styleId="style4106">
    <w:name w:val="2级标题"/>
    <w:basedOn w:val="style0"/>
    <w:next w:val="style4106"/>
    <w:qFormat/>
    <w:uiPriority w:val="0"/>
    <w:pPr>
      <w:adjustRightInd w:val="false"/>
      <w:snapToGrid w:val="false"/>
      <w:ind w:firstLine="200"/>
      <w:outlineLvl w:val="1"/>
    </w:pPr>
    <w:rPr>
      <w:rFonts w:ascii="Calibri" w:cs="Times New Roman" w:hAnsi="Calibri"/>
      <w:b/>
      <w:sz w:val="30"/>
      <w:szCs w:val="28"/>
    </w:rPr>
  </w:style>
  <w:style w:type="paragraph" w:customStyle="1" w:styleId="style4107">
    <w:name w:val="正文gss"/>
    <w:basedOn w:val="style0"/>
    <w:next w:val="style4107"/>
    <w:qFormat/>
    <w:uiPriority w:val="0"/>
    <w:pPr>
      <w:adjustRightInd w:val="false"/>
      <w:snapToGrid w:val="false"/>
      <w:ind w:firstLine="200"/>
    </w:pPr>
    <w:rPr>
      <w:rFonts w:ascii="Calibri" w:cs="Times New Roman" w:hAnsi="Calibri"/>
      <w:szCs w:val="28"/>
    </w:rPr>
  </w:style>
  <w:style w:type="paragraph" w:customStyle="1" w:styleId="style4108">
    <w:name w:val="1级标题"/>
    <w:basedOn w:val="style0"/>
    <w:next w:val="style4108"/>
    <w:qFormat/>
    <w:uiPriority w:val="0"/>
    <w:pPr>
      <w:adjustRightInd w:val="false"/>
      <w:snapToGrid w:val="false"/>
      <w:jc w:val="center"/>
      <w:outlineLvl w:val="0"/>
    </w:pPr>
    <w:rPr>
      <w:rFonts w:ascii="Calibri" w:cs="Times New Roman" w:hAnsi="Calibri"/>
      <w:b/>
      <w:sz w:val="32"/>
      <w:szCs w:val="28"/>
    </w:rPr>
  </w:style>
  <w:style w:type="paragraph" w:customStyle="1" w:styleId="style4109">
    <w:name w:val="1 表头"/>
    <w:basedOn w:val="style0"/>
    <w:next w:val="style4109"/>
    <w:qFormat/>
    <w:uiPriority w:val="0"/>
    <w:pPr>
      <w:spacing w:before="120" w:beforeLines="50" w:lineRule="auto" w:line="240"/>
      <w:ind w:firstLine="0" w:firstLineChars="0"/>
      <w:jc w:val="center"/>
    </w:pPr>
    <w:rPr>
      <w:b/>
    </w:rPr>
  </w:style>
  <w:style w:type="paragraph" w:customStyle="1" w:styleId="style4110">
    <w:name w:val="1 表内容"/>
    <w:basedOn w:val="style0"/>
    <w:next w:val="style4110"/>
    <w:qFormat/>
    <w:uiPriority w:val="0"/>
    <w:pPr>
      <w:spacing w:lineRule="exact" w:line="320"/>
      <w:ind w:firstLine="0" w:firstLineChars="0"/>
      <w:jc w:val="center"/>
    </w:pPr>
    <w:rPr>
      <w:kern w:val="0"/>
      <w:sz w:val="21"/>
    </w:rPr>
  </w:style>
  <w:style w:type="paragraph" w:customStyle="1" w:styleId="style4111">
    <w:name w:val="1 正文"/>
    <w:basedOn w:val="style0"/>
    <w:next w:val="style4111"/>
    <w:link w:val="style4112"/>
    <w:qFormat/>
    <w:uiPriority w:val="0"/>
    <w:pPr>
      <w:ind w:firstLine="480"/>
    </w:pPr>
    <w:rPr/>
  </w:style>
  <w:style w:type="character" w:customStyle="1" w:styleId="style4112">
    <w:name w:val="1 正文 Char"/>
    <w:next w:val="style4112"/>
    <w:link w:val="style4111"/>
    <w:qFormat/>
    <w:uiPriority w:val="0"/>
  </w:style>
  <w:style w:type="paragraph" w:customStyle="1" w:styleId="style4113">
    <w:name w:val="01正文"/>
    <w:basedOn w:val="style0"/>
    <w:next w:val="style4113"/>
    <w:qFormat/>
    <w:uiPriority w:val="0"/>
    <w:pPr>
      <w:ind w:firstLine="200"/>
    </w:pPr>
    <w:rPr/>
  </w:style>
  <w:style w:type="character" w:customStyle="1" w:styleId="style4114">
    <w:name w:val="批注框文本 字符"/>
    <w:basedOn w:val="style65"/>
    <w:next w:val="style4114"/>
    <w:link w:val="style153"/>
    <w:qFormat/>
    <w:uiPriority w:val="0"/>
    <w:rPr>
      <w:rFonts w:cs="宋体"/>
      <w:kern w:val="2"/>
      <w:sz w:val="18"/>
      <w:szCs w:val="18"/>
    </w:rPr>
  </w:style>
  <w:style w:type="character" w:customStyle="1" w:styleId="style4115">
    <w:name w:val="页眉 字符"/>
    <w:basedOn w:val="style65"/>
    <w:next w:val="style4115"/>
    <w:link w:val="style31"/>
    <w:qFormat/>
    <w:uiPriority w:val="0"/>
    <w:rPr>
      <w:rFonts w:cs="宋体"/>
      <w:kern w:val="2"/>
      <w:sz w:val="18"/>
      <w:szCs w:val="18"/>
    </w:rPr>
  </w:style>
  <w:style w:type="character" w:customStyle="1" w:styleId="style4116">
    <w:name w:val="页脚 字符"/>
    <w:basedOn w:val="style65"/>
    <w:next w:val="style4116"/>
    <w:link w:val="style32"/>
    <w:qFormat/>
    <w:uiPriority w:val="99"/>
    <w:rPr>
      <w:rFonts w:cs="宋体"/>
      <w:kern w:val="2"/>
      <w:sz w:val="18"/>
      <w:szCs w:val="18"/>
    </w:rPr>
  </w:style>
  <w:style w:type="paragraph" w:customStyle="1" w:styleId="style4117">
    <w:name w:val="TOC 标题1"/>
    <w:basedOn w:val="style1"/>
    <w:next w:val="style0"/>
    <w:qFormat/>
    <w:uiPriority w:val="39"/>
    <w:pPr>
      <w:keepNext/>
      <w:keepLines/>
      <w:widowControl/>
      <w:spacing w:before="480" w:after="0" w:lineRule="auto" w:line="276"/>
      <w:jc w:val="left"/>
      <w:outlineLvl w:val="9"/>
    </w:pPr>
    <w:rPr>
      <w:rFonts w:ascii="Calibri Light" w:cs="宋体" w:eastAsia="宋体" w:hAnsi="Calibri Light" w:hint="default"/>
      <w:color w:val="2e54a1"/>
      <w:kern w:val="0"/>
      <w:sz w:val="28"/>
      <w:szCs w:val="28"/>
    </w:rPr>
  </w:style>
  <w:style w:type="character" w:customStyle="1" w:styleId="style4118">
    <w:name w:val="正文文本 字符"/>
    <w:basedOn w:val="style65"/>
    <w:next w:val="style4118"/>
    <w:link w:val="style66"/>
    <w:qFormat/>
    <w:uiPriority w:val="99"/>
    <w:rPr>
      <w:rFonts w:cs="宋体"/>
      <w:kern w:val="2"/>
      <w:sz w:val="24"/>
      <w:szCs w:val="22"/>
    </w:rPr>
  </w:style>
  <w:style w:type="paragraph" w:customStyle="1" w:styleId="style4119">
    <w:name w:val="Table Text"/>
    <w:basedOn w:val="style0"/>
    <w:next w:val="style4119"/>
    <w:qFormat/>
    <w:uiPriority w:val="0"/>
    <w:pPr/>
    <w:rPr>
      <w:rFonts w:ascii="宋体" w:cs="宋体" w:hAnsi="宋体"/>
      <w:sz w:val="18"/>
      <w:szCs w:val="18"/>
      <w:lang w:eastAsia="en-US"/>
    </w:rPr>
  </w:style>
  <w:style w:type="table" w:customStyle="1" w:styleId="style4120">
    <w:name w:val="Table Normal"/>
    <w:next w:val="style4120"/>
    <w:qFormat/>
    <w:uiPriority w:val="0"/>
    <w:pPr/>
    <w:rPr/>
    <w:tblPr>
      <w:tblCellMar>
        <w:top w:w="0" w:type="dxa"/>
        <w:left w:w="0" w:type="dxa"/>
        <w:bottom w:w="0" w:type="dxa"/>
        <w:right w:w="0" w:type="dxa"/>
      </w:tblCellMar>
    </w:tblPr>
    <w:tcPr>
      <w:tcBorders/>
    </w:tcPr>
  </w:style>
  <w:style w:type="character" w:customStyle="1" w:styleId="style4121">
    <w:name w:val="font41"/>
    <w:basedOn w:val="style65"/>
    <w:next w:val="style4121"/>
    <w:qFormat/>
    <w:uiPriority w:val="0"/>
    <w:rPr>
      <w:rFonts w:ascii="仿宋_GB2312" w:cs="仿宋_GB2312" w:eastAsia="仿宋_GB2312" w:hint="default"/>
      <w:color w:val="000000"/>
      <w:sz w:val="16"/>
      <w:szCs w:val="16"/>
      <w:u w:val="none"/>
    </w:rPr>
  </w:style>
  <w:style w:type="character" w:customStyle="1" w:styleId="style4122">
    <w:name w:val="font51"/>
    <w:basedOn w:val="style65"/>
    <w:next w:val="style4122"/>
    <w:qFormat/>
    <w:uiPriority w:val="0"/>
    <w:rPr>
      <w:rFonts w:ascii="仿宋_GB2312" w:cs="仿宋_GB2312" w:eastAsia="仿宋_GB2312" w:hint="default"/>
      <w:color w:val="000000"/>
      <w:sz w:val="16"/>
      <w:szCs w:val="16"/>
      <w:u w:val="none"/>
    </w:rPr>
  </w:style>
  <w:style w:type="character" w:customStyle="1" w:styleId="style4123">
    <w:name w:val="font71"/>
    <w:basedOn w:val="style65"/>
    <w:next w:val="style4123"/>
    <w:qFormat/>
    <w:uiPriority w:val="0"/>
    <w:rPr>
      <w:rFonts w:ascii="仿宋_GB2312" w:cs="仿宋_GB2312" w:eastAsia="仿宋_GB2312" w:hint="default"/>
      <w:color w:val="000000"/>
      <w:sz w:val="16"/>
      <w:szCs w:val="16"/>
      <w:u w:val="none"/>
    </w:rPr>
  </w:style>
  <w:style w:type="character" w:customStyle="1" w:styleId="style4124">
    <w:name w:val="font81"/>
    <w:basedOn w:val="style65"/>
    <w:next w:val="style4124"/>
    <w:qFormat/>
    <w:uiPriority w:val="0"/>
    <w:rPr>
      <w:rFonts w:ascii="仿宋_GB2312" w:cs="仿宋_GB2312" w:eastAsia="仿宋_GB2312" w:hint="default"/>
      <w:color w:val="000000"/>
      <w:sz w:val="16"/>
      <w:szCs w:val="16"/>
      <w:u w:val="none"/>
    </w:rPr>
  </w:style>
  <w:style w:type="paragraph" w:customStyle="1" w:styleId="style4125">
    <w:name w:val="3级标题"/>
    <w:basedOn w:val="style0"/>
    <w:next w:val="style4125"/>
    <w:qFormat/>
    <w:uiPriority w:val="0"/>
    <w:pPr>
      <w:ind w:firstLine="0" w:firstLineChars="0"/>
      <w:outlineLvl w:val="2"/>
    </w:pPr>
    <w:rPr>
      <w:rFonts w:cs="Times New Roman" w:hint="eastAsia"/>
      <w:b/>
      <w:szCs w:val="28"/>
    </w:rPr>
  </w:style>
  <w:style w:type="paragraph" w:customStyle="1" w:styleId="style4126">
    <w:name w:val="01GW正文"/>
    <w:basedOn w:val="style0"/>
    <w:next w:val="style4126"/>
    <w:qFormat/>
    <w:uiPriority w:val="0"/>
    <w:pPr>
      <w:tabs>
        <w:tab w:val="left" w:leader="none" w:pos="0"/>
        <w:tab w:val="left" w:leader="none" w:pos="870"/>
        <w:tab w:val="left" w:leader="none" w:pos="3150"/>
      </w:tabs>
      <w:autoSpaceDE w:val="false"/>
      <w:autoSpaceDN w:val="false"/>
      <w:ind w:firstLine="200"/>
    </w:pPr>
    <w:rPr>
      <w:kern w:val="24"/>
      <w:szCs w:val="20"/>
    </w:rPr>
  </w:style>
  <w:style w:type="paragraph" w:customStyle="1" w:styleId="style4127">
    <w:name w:val="01表格正文"/>
    <w:basedOn w:val="style0"/>
    <w:next w:val="style4127"/>
    <w:qFormat/>
    <w:uiPriority w:val="0"/>
    <w:pPr>
      <w:adjustRightInd w:val="false"/>
      <w:snapToGrid w:val="false"/>
      <w:spacing w:lineRule="exact" w:line="320"/>
      <w:ind w:firstLine="0" w:firstLineChars="0"/>
      <w:jc w:val="center"/>
    </w:pPr>
    <w:rPr>
      <w:sz w:val="21"/>
      <w:szCs w:val="21"/>
    </w:rPr>
  </w:style>
  <w:style w:type="paragraph" w:customStyle="1" w:styleId="style4128">
    <w:name w:val="1.1.1.1章节"/>
    <w:basedOn w:val="style4"/>
    <w:next w:val="style4128"/>
    <w:qFormat/>
    <w:uiPriority w:val="0"/>
    <w:pPr>
      <w:tabs>
        <w:tab w:val="left" w:leader="none" w:pos="864"/>
      </w:tabs>
      <w:adjustRightInd w:val="false"/>
      <w:snapToGrid w:val="false"/>
      <w:textAlignment w:val="baseline"/>
    </w:pPr>
    <w:rPr>
      <w:kern w:val="0"/>
    </w:rPr>
  </w:style>
  <w:style w:type="paragraph" w:customStyle="1" w:styleId="style4129">
    <w:name w:val="02表格标题"/>
    <w:basedOn w:val="style0"/>
    <w:next w:val="style4129"/>
    <w:qFormat/>
    <w:uiPriority w:val="0"/>
    <w:pPr>
      <w:adjustRightInd w:val="false"/>
      <w:snapToGrid w:val="false"/>
      <w:spacing w:before="50" w:beforeLines="50" w:lineRule="auto" w:line="240"/>
      <w:ind w:firstLine="0" w:firstLineChars="0"/>
      <w:jc w:val="center"/>
    </w:pPr>
    <w:rPr>
      <w:b/>
      <w:kern w:val="0"/>
    </w:rPr>
  </w:style>
  <w:style w:type="paragraph" w:customStyle="1" w:styleId="style4130">
    <w:name w:val="!正文"/>
    <w:next w:val="style4131"/>
    <w:qFormat/>
    <w:uiPriority w:val="0"/>
    <w:pPr>
      <w:spacing w:lineRule="auto" w:line="360"/>
      <w:ind w:firstLine="200" w:firstLineChars="200"/>
      <w:jc w:val="both"/>
    </w:pPr>
    <w:rPr>
      <w:rFonts w:ascii="Times New Roman" w:cs="Times New Roman" w:eastAsia="宋体" w:hAnsi="Times New Roman"/>
      <w:sz w:val="24"/>
      <w:szCs w:val="24"/>
      <w:lang w:val="en-US" w:bidi="ar-SA" w:eastAsia="zh-CN"/>
    </w:rPr>
  </w:style>
  <w:style w:type="paragraph" w:customStyle="1" w:styleId="style4131">
    <w:name w:val="正文首缩"/>
    <w:basedOn w:val="style66"/>
    <w:next w:val="style4131"/>
    <w:qFormat/>
    <w:uiPriority w:val="0"/>
    <w:pPr>
      <w:snapToGrid w:val="false"/>
      <w:spacing w:after="80" w:lineRule="auto" w:line="288"/>
      <w:ind w:firstLine="454" w:firstLineChars="0"/>
    </w:pPr>
    <w:rPr>
      <w:szCs w:val="20"/>
    </w:rPr>
  </w:style>
  <w:style w:type="paragraph" w:customStyle="1" w:styleId="style4132">
    <w:name w:val="三级目录"/>
    <w:basedOn w:val="style2"/>
    <w:next w:val="style4132"/>
    <w:qFormat/>
    <w:uiPriority w:val="0"/>
    <w:pPr>
      <w:spacing w:before="0" w:after="0" w:lineRule="auto" w:line="240"/>
      <w:ind w:firstLine="100"/>
      <w:jc w:val="left"/>
      <w:outlineLvl w:val="2"/>
    </w:pPr>
    <w:rPr>
      <w:rFonts w:ascii="宋体" w:cs="宋体" w:eastAsia="宋体" w:hAnsi="宋体"/>
      <w:kern w:val="1"/>
      <w:sz w:val="24"/>
      <w:szCs w:val="24"/>
      <w:lang w:val="zh-CN"/>
    </w:rPr>
  </w:style>
  <w:style w:type="paragraph" w:customStyle="1" w:styleId="style4133">
    <w:name w:val="二级目录"/>
    <w:basedOn w:val="style2"/>
    <w:next w:val="style4133"/>
    <w:qFormat/>
    <w:uiPriority w:val="0"/>
    <w:pPr>
      <w:spacing w:before="0" w:beforeLines="50" w:after="0" w:afterLines="50" w:lineRule="auto" w:line="240"/>
    </w:pPr>
    <w:rPr>
      <w:rFonts w:ascii="Arial" w:cs="宋体" w:hAnsi="Arial"/>
      <w:kern w:val="2"/>
      <w:sz w:val="32"/>
      <w:szCs w:val="20"/>
    </w:rPr>
  </w:style>
  <w:style w:type="paragraph" w:customStyle="1" w:styleId="style4134">
    <w:name w:val="02二级标题"/>
    <w:basedOn w:val="style2"/>
    <w:next w:val="style4135"/>
    <w:qFormat/>
    <w:uiPriority w:val="0"/>
    <w:pPr>
      <w:widowControl/>
      <w:numPr>
        <w:ilvl w:val="1"/>
        <w:numId w:val="2"/>
      </w:numPr>
      <w:adjustRightInd w:val="false"/>
      <w:snapToGrid w:val="false"/>
      <w:spacing w:before="240" w:after="240" w:lineRule="exact" w:line="500"/>
      <w:jc w:val="left"/>
    </w:pPr>
    <w:rPr>
      <w:rFonts w:eastAsia="宋体"/>
      <w:kern w:val="2"/>
      <w:sz w:val="30"/>
      <w:szCs w:val="20"/>
      <w:lang w:val="zh-CN"/>
    </w:rPr>
  </w:style>
  <w:style w:type="paragraph" w:customStyle="1" w:styleId="style4135">
    <w:name w:val="00正文内容"/>
    <w:next w:val="style4135"/>
    <w:qFormat/>
    <w:uiPriority w:val="0"/>
    <w:pPr>
      <w:spacing w:lineRule="exact" w:line="500"/>
      <w:ind w:firstLine="200" w:firstLineChars="200"/>
      <w:jc w:val="both"/>
    </w:pPr>
    <w:rPr>
      <w:rFonts w:ascii="Times New Roman" w:cs="Times New Roman" w:eastAsia="宋体" w:hAnsi="Times New Roman"/>
      <w:color w:val="000000"/>
      <w:kern w:val="2"/>
      <w:sz w:val="24"/>
      <w:szCs w:val="28"/>
      <w:lang w:val="en-US" w:bidi="ar-SA" w:eastAsia="zh-CN"/>
    </w:rPr>
  </w:style>
  <w:style w:type="paragraph" w:customStyle="1" w:styleId="style4136">
    <w:name w:val="图表内容"/>
    <w:next w:val="style4136"/>
    <w:qFormat/>
    <w:uiPriority w:val="0"/>
    <w:pPr>
      <w:widowControl w:val="false"/>
      <w:jc w:val="center"/>
    </w:pPr>
    <w:rPr>
      <w:rFonts w:ascii="Times New Roman" w:cs="宋体" w:eastAsia="宋体" w:hAnsi="Times New Roman"/>
      <w:kern w:val="2"/>
      <w:sz w:val="21"/>
      <w:szCs w:val="22"/>
      <w:lang w:val="en-US" w:bidi="ar-SA" w:eastAsia="zh-CN"/>
    </w:rPr>
  </w:style>
  <w:style w:type="paragraph" w:customStyle="1" w:styleId="style4137">
    <w:name w:val="@ 安-文"/>
    <w:basedOn w:val="style0"/>
    <w:next w:val="style4137"/>
    <w:qFormat/>
    <w:uiPriority w:val="0"/>
    <w:pPr>
      <w:tabs>
        <w:tab w:val="left" w:leader="none" w:pos="5670"/>
      </w:tabs>
      <w:adjustRightInd w:val="false"/>
      <w:spacing w:lineRule="exact" w:line="500"/>
      <w:ind w:firstLine="200"/>
      <w:textAlignment w:val="center"/>
      <w:contextualSpacing/>
    </w:pPr>
    <w:rPr>
      <w:rFonts w:cs="Times New Roman"/>
      <w:color w:val="000000"/>
      <w:szCs w:val="28"/>
    </w:rPr>
  </w:style>
</w:styles>
</file>

<file path=word/_rels/document.xml.rels><?xml version="1.0" encoding="UTF-8"?>
<Relationships xmlns="http://schemas.openxmlformats.org/package/2006/relationships"><Relationship Id="rId20" Type="http://schemas.openxmlformats.org/officeDocument/2006/relationships/header" Target="header12.xml"/><Relationship Id="rId22" Type="http://schemas.openxmlformats.org/officeDocument/2006/relationships/styles" Target="styles.xml"/><Relationship Id="rId21" Type="http://schemas.openxmlformats.org/officeDocument/2006/relationships/footer" Target="footer13.xml"/><Relationship Id="rId24" Type="http://schemas.openxmlformats.org/officeDocument/2006/relationships/settings" Target="settings.xml"/><Relationship Id="rId23"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footer" Target="footer8.xml"/><Relationship Id="rId26" Type="http://schemas.openxmlformats.org/officeDocument/2006/relationships/customXml" Target="../customXml/item1.xml"/><Relationship Id="rId25" Type="http://schemas.openxmlformats.org/officeDocument/2006/relationships/theme" Target="theme/theme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image" Target="media/image3.png"/><Relationship Id="rId15" Type="http://schemas.openxmlformats.org/officeDocument/2006/relationships/image" Target="media/image6.png"/><Relationship Id="rId14" Type="http://schemas.openxmlformats.org/officeDocument/2006/relationships/image" Target="media/image5.png"/><Relationship Id="rId17" Type="http://schemas.openxmlformats.org/officeDocument/2006/relationships/image" Target="media/image7.png"/><Relationship Id="rId16" Type="http://schemas.openxmlformats.org/officeDocument/2006/relationships/footer" Target="footer9.xml"/><Relationship Id="rId19" Type="http://schemas.openxmlformats.org/officeDocument/2006/relationships/footer" Target="footer11.xml"/><Relationship Id="rId18"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17012</Words>
  <Pages>42</Pages>
  <Characters>18072</Characters>
  <Application>WPS Office</Application>
  <DocSecurity>0</DocSecurity>
  <Paragraphs>383</Paragraphs>
  <ScaleCrop>false</ScaleCrop>
  <LinksUpToDate>false</LinksUpToDate>
  <CharactersWithSpaces>18127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2025-11-21T07:28:00Z</dcterms:created>
  <dc:creator>Dauy Hiat</dc:creator>
  <lastModifiedBy>PLA-AL10</lastModifiedBy>
  <lastPrinted>2023-11-18T12:48:00Z</lastPrinted>
  <dcterms:modified xsi:type="dcterms:W3CDTF">2026-02-14T09:14:26Z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cd9ba0134efa41a58a79f2d1c2c28483_23</vt:lpwstr>
  </property>
  <property fmtid="{D5CDD505-2E9C-101B-9397-08002B2CF9AE}" pid="4" name="KSOTemplateDocerSaveRecord">
    <vt:lpwstr>eyJoZGlkIjoiODQ1YzcwYzcxNzBjYTdkOTEyNGE3NTMzYzZkZWMxZjAiLCJ1c2VySWQiOiIzNzE5MjIyMTAifQ==</vt:lpwstr>
  </property>
</Properties>
</file>