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spacing w:line="400" w:lineRule="exact"/>
        <w:jc w:val="center"/>
        <w:rPr>
          <w:rFonts w:ascii="方正小标宋_GBK" w:eastAsia="方正小标宋_GBK" w:cs="方正小标宋_GBK"/>
          <w:sz w:val="36"/>
          <w:szCs w:val="36"/>
        </w:rPr>
      </w:pPr>
      <w:bookmarkStart w:id="0" w:name="_GoBack"/>
      <w:r>
        <w:rPr>
          <w:rFonts w:hint="eastAsia" w:ascii="方正小标宋_GBK" w:eastAsia="方正小标宋_GBK" w:cs="方正小标宋_GBK"/>
          <w:sz w:val="36"/>
          <w:szCs w:val="36"/>
        </w:rPr>
        <w:t>双随机、一公开项目检查表</w:t>
      </w:r>
    </w:p>
    <w:bookmarkEnd w:id="0"/>
    <w:tbl>
      <w:tblPr>
        <w:tblStyle w:val="10"/>
        <w:tblpPr w:leftFromText="180" w:rightFromText="180" w:vertAnchor="text" w:horzAnchor="page" w:tblpX="671" w:tblpY="373"/>
        <w:tblOverlap w:val="never"/>
        <w:tblW w:w="10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720"/>
        <w:gridCol w:w="1307"/>
        <w:gridCol w:w="1033"/>
        <w:gridCol w:w="288"/>
        <w:gridCol w:w="1934"/>
        <w:gridCol w:w="298"/>
        <w:gridCol w:w="962"/>
        <w:gridCol w:w="2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工程名称</w:t>
            </w:r>
          </w:p>
        </w:tc>
        <w:tc>
          <w:tcPr>
            <w:tcW w:w="806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项目编码</w:t>
            </w:r>
          </w:p>
        </w:tc>
        <w:tc>
          <w:tcPr>
            <w:tcW w:w="26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工程地点</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结构类型</w:t>
            </w:r>
          </w:p>
        </w:tc>
        <w:tc>
          <w:tcPr>
            <w:tcW w:w="26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建筑层数（层）</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建筑面积（平方米）</w:t>
            </w:r>
          </w:p>
        </w:tc>
        <w:tc>
          <w:tcPr>
            <w:tcW w:w="26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开工日期</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工程造价（万元）</w:t>
            </w:r>
          </w:p>
        </w:tc>
        <w:tc>
          <w:tcPr>
            <w:tcW w:w="26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形象进度</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投资来源</w:t>
            </w:r>
          </w:p>
        </w:tc>
        <w:tc>
          <w:tcPr>
            <w:tcW w:w="26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合同竣工日期</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584"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各方主体和有关机构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各方主体和</w:t>
            </w:r>
          </w:p>
          <w:p>
            <w:pPr>
              <w:spacing w:line="360" w:lineRule="exact"/>
              <w:jc w:val="center"/>
              <w:rPr>
                <w:rFonts w:ascii="新宋体" w:eastAsia="新宋体" w:cs="新宋体"/>
                <w:sz w:val="24"/>
              </w:rPr>
            </w:pPr>
            <w:r>
              <w:rPr>
                <w:rFonts w:hint="eastAsia" w:ascii="新宋体" w:eastAsia="新宋体" w:cs="新宋体"/>
                <w:sz w:val="24"/>
              </w:rPr>
              <w:t>有关机构</w:t>
            </w:r>
          </w:p>
        </w:tc>
        <w:tc>
          <w:tcPr>
            <w:tcW w:w="2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项目</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单位名称</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合同范围</w:t>
            </w: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建设单位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勘察单位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设计单位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施工总承包单位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施工分包单位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监理单位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检测机构</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商品砼生产单位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r>
              <w:rPr>
                <w:rFonts w:hint="eastAsia" w:ascii="新宋体" w:eastAsia="新宋体" w:cs="新宋体"/>
                <w:sz w:val="24"/>
              </w:rPr>
              <w:t>预拌砂浆生产  单位</w:t>
            </w:r>
          </w:p>
        </w:tc>
        <w:tc>
          <w:tcPr>
            <w:tcW w:w="3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备注</w:t>
            </w:r>
          </w:p>
        </w:tc>
        <w:tc>
          <w:tcPr>
            <w:tcW w:w="8784"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填表单位签字</w:t>
            </w:r>
          </w:p>
        </w:tc>
        <w:tc>
          <w:tcPr>
            <w:tcW w:w="30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c>
          <w:tcPr>
            <w:tcW w:w="2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被检查单位签字</w:t>
            </w:r>
          </w:p>
        </w:tc>
        <w:tc>
          <w:tcPr>
            <w:tcW w:w="35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p>
        </w:tc>
      </w:tr>
    </w:tbl>
    <w:p>
      <w:pPr>
        <w:spacing w:line="400" w:lineRule="exact"/>
        <w:ind w:firstLine="271" w:firstLineChars="100"/>
        <w:rPr>
          <w:rFonts w:ascii="新宋体" w:eastAsia="新宋体" w:cs="新宋体"/>
          <w:sz w:val="28"/>
          <w:szCs w:val="28"/>
        </w:rPr>
      </w:pPr>
      <w:r>
        <w:rPr>
          <w:rFonts w:hint="eastAsia" w:ascii="新宋体" w:eastAsia="新宋体" w:cs="新宋体"/>
          <w:sz w:val="28"/>
          <w:szCs w:val="28"/>
        </w:rPr>
        <w:t>项目编号：                           检查时间:</w:t>
      </w:r>
    </w:p>
    <w:tbl>
      <w:tblPr>
        <w:tblStyle w:val="10"/>
        <w:tblpPr w:leftFromText="180" w:rightFromText="180" w:vertAnchor="text" w:horzAnchor="page" w:tblpX="705" w:tblpY="95"/>
        <w:tblOverlap w:val="never"/>
        <w:tblW w:w="10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715"/>
        <w:gridCol w:w="5907"/>
        <w:gridCol w:w="1134"/>
        <w:gridCol w:w="992"/>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r>
              <w:rPr>
                <w:rFonts w:hint="eastAsia" w:ascii="新宋体" w:eastAsia="新宋体" w:cs="新宋体"/>
                <w:sz w:val="24"/>
              </w:rPr>
              <w:t>检查项目</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r>
              <w:rPr>
                <w:rFonts w:hint="eastAsia" w:ascii="新宋体" w:eastAsia="新宋体" w:cs="新宋体"/>
                <w:sz w:val="24"/>
              </w:rPr>
              <w:t>序号</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新宋体" w:eastAsia="新宋体" w:cs="新宋体"/>
                <w:sz w:val="24"/>
              </w:rPr>
            </w:pPr>
            <w:r>
              <w:rPr>
                <w:rFonts w:hint="eastAsia" w:ascii="新宋体" w:eastAsia="新宋体" w:cs="新宋体"/>
                <w:sz w:val="24"/>
              </w:rPr>
              <w:t>检查内容</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r>
              <w:rPr>
                <w:rFonts w:hint="eastAsia" w:ascii="新宋体" w:eastAsia="新宋体" w:cs="新宋体"/>
                <w:sz w:val="24"/>
              </w:rPr>
              <w:t>不存在问题打“√”</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r>
              <w:rPr>
                <w:rFonts w:hint="eastAsia" w:ascii="新宋体" w:eastAsia="新宋体" w:cs="新宋体"/>
                <w:sz w:val="24"/>
              </w:rPr>
              <w:t>存在问题打“×”</w:t>
            </w: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r>
              <w:rPr>
                <w:rFonts w:hint="eastAsia" w:ascii="新宋体" w:eastAsia="新宋体" w:cs="新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59" w:type="dxa"/>
            <w:vMerge w:val="restart"/>
            <w:tcBorders>
              <w:top w:val="single" w:color="auto" w:sz="4" w:space="0"/>
              <w:left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r>
              <w:rPr>
                <w:rFonts w:hint="eastAsia" w:ascii="新宋体" w:eastAsia="新宋体" w:cs="新宋体"/>
                <w:sz w:val="24"/>
              </w:rPr>
              <w:t>建设单位方面</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1</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将工程发包给个人、给不具有相应资质的施工单位</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2</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依法应当招标未招标、未按照法定招标程序发包、围标串标或虚假招标的</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3</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设置不合理的招投标条件，限制、排斥潜在投标人或者投标人</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4</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建设单位将一个单位工程的施工分解成若干部分发包给不同的施工总承包或专业承包单位</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5</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未办理施工许可证擅自施工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6</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未依法提供工程款支付担保</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新宋体" w:eastAsia="新宋体" w:cs="新宋体"/>
                <w:sz w:val="24"/>
              </w:rPr>
            </w:pPr>
            <w:r>
              <w:rPr>
                <w:rFonts w:hint="eastAsia" w:ascii="新宋体" w:eastAsia="新宋体" w:cs="新宋体"/>
                <w:sz w:val="24"/>
              </w:rPr>
              <w:t>7</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建设单位未按法规规定及时拨付人工费用至农民工工资专户及其它违反《保障农民工工资支付条例》行为</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ind w:left="115" w:hanging="116" w:hangingChars="50"/>
              <w:jc w:val="center"/>
              <w:rPr>
                <w:rFonts w:ascii="新宋体" w:eastAsia="新宋体" w:cs="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新宋体" w:eastAsia="新宋体" w:cs="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59" w:type="dxa"/>
            <w:vMerge w:val="restart"/>
            <w:tcBorders>
              <w:left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r>
              <w:rPr>
                <w:rFonts w:hint="eastAsia" w:ascii="Times New Roman" w:hAnsi="Times New Roman" w:eastAsia="新宋体"/>
                <w:sz w:val="24"/>
              </w:rPr>
              <w:t>施工单位方面</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将其承包的全部工程转给其他单位或个人施工的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施工总承包单位或专业承包单位将其承包的全部工程肢解以后，以分包的名义分别转给其他单位或个人施工的。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3</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施工总承包单位或专业承包单位未派驻项目负责人、技术负责人、质量管理负责人、安全管理负责人等主要管理人员，或派驻的项目负责人、技术负责人、质量管理负责人、安全管理负责人中一人及以上与施工单位没有订立劳动合同且没有建立劳动工资和社会养老保险关系，或派驻的项目负责人未对该工程的施工活动进行组织管理，又不能进行合理解释并提供相应证明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4</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合同约定由承包单位负责采购的主要建筑材料、构配件及工程设备或租赁的施工机械设备，由其他单位或个人采购、租赁，或施工单位不能提供有关采购、租赁合同及发票等证明，又不能进行合理解释并提供相应证明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5</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专业作业承包人承包的范围是承包单位承包的全部工程，专业作业承包人计取的是除上缴给承包单位</w:t>
            </w:r>
            <w:r>
              <w:rPr>
                <w:rStyle w:val="15"/>
                <w:rFonts w:eastAsia="Tahoma"/>
              </w:rPr>
              <w:t>“</w:t>
            </w:r>
            <w:r>
              <w:rPr>
                <w:rStyle w:val="14"/>
              </w:rPr>
              <w:t>管理费</w:t>
            </w:r>
            <w:r>
              <w:rPr>
                <w:rStyle w:val="15"/>
                <w:rFonts w:eastAsia="Tahoma"/>
              </w:rPr>
              <w:t>”</w:t>
            </w:r>
            <w:r>
              <w:rPr>
                <w:rStyle w:val="14"/>
              </w:rPr>
              <w:t>之外的全部工程价款的。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6</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承包单位通过采取合作、联营、个人承包等形式或名义，直接或变相将其承包的全部工程转给其他单位或个人施工的；及联合体内部转包。</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59"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7</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专业工程的发包单位不是该工程的施工总承包或专业承包单位的，但建设单位依约作为发包单位的除外。</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bl>
    <w:tbl>
      <w:tblPr>
        <w:tblStyle w:val="10"/>
        <w:tblpPr w:leftFromText="180" w:rightFromText="180" w:vertAnchor="text" w:horzAnchor="page" w:tblpX="793" w:tblpY="814"/>
        <w:tblOverlap w:val="never"/>
        <w:tblW w:w="10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715"/>
        <w:gridCol w:w="5907"/>
        <w:gridCol w:w="1134"/>
        <w:gridCol w:w="992"/>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restart"/>
            <w:tcBorders>
              <w:left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r>
              <w:rPr>
                <w:rFonts w:hint="eastAsia" w:ascii="Times New Roman" w:hAnsi="Times New Roman" w:eastAsia="新宋体"/>
                <w:sz w:val="24"/>
              </w:rPr>
              <w:t>施工单位方面</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8</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专业作业的发包单位不是该工程承包单位的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9</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施工合同主体之间没有工程款收付关系，或者承包单位收到款项后又将款项转拨给其他单位和个人，又不能进行合理解释并提供材料证明的。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10</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承包单位将其承包的工程分包给个人的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11</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施工总承包单位或专业承包单位将工程分包给不具备相应资质单位的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12</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施工总承包单位将施工总承包合同范围内工程主体结构的施工分包给其他单位的，钢结构工程除外</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13</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专业分包单位将其承包的专业工程中非劳务作业部分再分包的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14</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专业作业承包人将其承包的劳务再分包的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15</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专业作业承包人除计取劳务作业费用外，还计取主要建筑材料款和大中型施工机械设备、主要周转材料费用的。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16</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新宋体"/>
                <w:sz w:val="24"/>
              </w:rPr>
            </w:pPr>
            <w:r>
              <w:rPr>
                <w:rStyle w:val="14"/>
              </w:rPr>
              <w:t>没有资质的单位或个人借用其他施工单位的资质承揽工程的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17</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Style w:val="14"/>
              </w:rPr>
            </w:pPr>
            <w:r>
              <w:rPr>
                <w:rStyle w:val="14"/>
              </w:rPr>
              <w:t>有资质的施工单位相互借用资质承揽工程的，包括资质等级低的借用资质等级高的，资质等级高的借用资质等级低的，相同资质等级相互借用的。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18</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施工现场未按（苏建建管</w:t>
            </w:r>
            <w:r>
              <w:rPr>
                <w:rFonts w:ascii="Times New Roman" w:hAnsi="Times New Roman" w:eastAsia="仿宋_GB2312"/>
                <w:sz w:val="24"/>
              </w:rPr>
              <w:t>〔</w:t>
            </w:r>
            <w:r>
              <w:rPr>
                <w:rFonts w:ascii="Times New Roman" w:hAnsi="Times New Roman" w:eastAsia="新宋体"/>
                <w:sz w:val="24"/>
              </w:rPr>
              <w:t>2017</w:t>
            </w:r>
            <w:r>
              <w:rPr>
                <w:rFonts w:ascii="Times New Roman" w:hAnsi="Times New Roman" w:eastAsia="仿宋_GB2312"/>
                <w:sz w:val="24"/>
              </w:rPr>
              <w:t>〕</w:t>
            </w:r>
            <w:r>
              <w:rPr>
                <w:rFonts w:ascii="Times New Roman" w:hAnsi="Times New Roman" w:eastAsia="新宋体"/>
                <w:sz w:val="24"/>
              </w:rPr>
              <w:t>236号）文的规定设立项目管理机构并派驻项目负责人、安全员等主要管理人员或派驻的人员未建立劳动合同和社会养老保险关系的。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19</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项目部未建立以项目经理为首，由劳务企业（如使用）、劳务负责人（如使用）、工种负责人、班组长组成的农民工工资投诉处理网络，或未设置农民工权益告知牌和相关投诉电话的。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20</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施工现场项目部主要管理制度未上墙的。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21</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项目经理违反规定同时在两个及两个以上的工程项目担任项目负责人的。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22</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项目经理和主要管理人员未按规定到岗履职或在岗时间按月统计达不到</w:t>
            </w:r>
            <w:r>
              <w:rPr>
                <w:rFonts w:hint="eastAsia" w:ascii="Times New Roman" w:hAnsi="Times New Roman" w:eastAsia="新宋体"/>
                <w:sz w:val="24"/>
              </w:rPr>
              <w:t>7</w:t>
            </w:r>
            <w:r>
              <w:rPr>
                <w:rFonts w:ascii="Times New Roman" w:hAnsi="Times New Roman" w:eastAsia="新宋体"/>
                <w:sz w:val="24"/>
              </w:rPr>
              <w:t>0%的。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23</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未全面落实《保障农民工工资支付条例》</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24</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施工总承包单位未按规定及时开设项目农民工工资专用账户</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ascii="Times New Roman" w:hAnsi="Times New Roman" w:eastAsia="新宋体"/>
                <w:sz w:val="24"/>
              </w:rPr>
              <w:t>2</w:t>
            </w:r>
            <w:r>
              <w:rPr>
                <w:rFonts w:hint="eastAsia" w:ascii="Times New Roman" w:hAnsi="Times New Roman" w:eastAsia="新宋体"/>
                <w:sz w:val="24"/>
              </w:rPr>
              <w:t>5</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施工总承包单位未按月及时通过工资专户发放工人工资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26</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项目实名制管理员未及时为农民工办理用工实名制登记手续，或有现场实际用工但未进行实名制登记农民工的</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27</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施工总承包、专业承包（分包）或劳务企业未与农民工签订劳动合同且注明工资发放金额、周期的</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28</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项目未配备人脸考勤设备，或是配备人脸考勤设备但数据未实时上传至连云港市建筑工人管理服务信息平台的</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16" w:type="dxa"/>
            <w:vMerge w:val="continue"/>
            <w:tcBorders>
              <w:left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29</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项目农民工工资、考勤台账存在代签行为</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716" w:type="dxa"/>
            <w:vMerge w:val="continue"/>
            <w:tcBorders>
              <w:left w:val="single" w:color="auto" w:sz="4" w:space="0"/>
              <w:bottom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hint="eastAsia" w:ascii="Times New Roman" w:hAnsi="Times New Roman" w:eastAsia="新宋体"/>
                <w:sz w:val="24"/>
              </w:rPr>
              <w:t>30</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项目施工总承包单位、专业承包（分包）未按规定缴纳农民工工资保证金</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7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r>
              <w:rPr>
                <w:rFonts w:hint="eastAsia" w:ascii="Times New Roman" w:hAnsi="Times New Roman" w:eastAsia="新宋体"/>
                <w:sz w:val="24"/>
              </w:rPr>
              <w:t>监理单位方面</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ascii="Times New Roman" w:hAnsi="Times New Roman" w:eastAsia="新宋体"/>
                <w:sz w:val="24"/>
              </w:rPr>
              <w:t>1</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具有满足受检工程需要的相应企业资质，不存在无资质、超资质许可范围承揽项目的情况</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7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ascii="Times New Roman" w:hAnsi="Times New Roman" w:eastAsia="新宋体"/>
                <w:sz w:val="24"/>
              </w:rPr>
              <w:t>2</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项目监理机构人员劳动合同、社会保险关系等与中标通知书（如有）、监理合同中的监理单位一致</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ascii="Times New Roman" w:hAnsi="Times New Roman" w:eastAsia="新宋体"/>
                <w:sz w:val="24"/>
              </w:rPr>
              <w:t>3</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监理单位按中标通知书（如有）要求组建项目监理机构，并根据合同约定或监理规划配备相应人员</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ascii="Times New Roman" w:hAnsi="Times New Roman" w:eastAsia="新宋体"/>
                <w:sz w:val="24"/>
              </w:rPr>
              <w:t>4</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项目监理机构总监理工程师注册单位为合同约定的单位</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7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ascii="Times New Roman" w:hAnsi="Times New Roman" w:eastAsia="新宋体"/>
                <w:sz w:val="24"/>
              </w:rPr>
              <w:t>5</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项目监理机构总监理工程师具备注册执业资格,如有变更已征得建设单位同意，且变更手续齐备</w:t>
            </w:r>
            <w:r>
              <w:rPr>
                <w:rFonts w:hint="eastAsia" w:ascii="Times New Roman" w:hAnsi="Times New Roman" w:eastAsia="新宋体"/>
                <w:sz w:val="24"/>
              </w:rP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新宋体"/>
                <w:sz w:val="24"/>
              </w:rPr>
            </w:pPr>
            <w:r>
              <w:rPr>
                <w:rFonts w:ascii="Times New Roman" w:hAnsi="Times New Roman" w:eastAsia="新宋体"/>
                <w:sz w:val="24"/>
              </w:rPr>
              <w:t>6</w:t>
            </w:r>
          </w:p>
        </w:tc>
        <w:tc>
          <w:tcPr>
            <w:tcW w:w="5907"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Times New Roman" w:hAnsi="Times New Roman" w:eastAsia="新宋体"/>
                <w:sz w:val="24"/>
              </w:rPr>
            </w:pPr>
            <w:r>
              <w:rPr>
                <w:rFonts w:ascii="Times New Roman" w:hAnsi="Times New Roman" w:eastAsia="新宋体"/>
                <w:sz w:val="24"/>
              </w:rPr>
              <w:t>项目监理机构总监理工程师及其它现场主要管理人员严格按照要求到岗履职</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c>
          <w:tcPr>
            <w:tcW w:w="103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eastAsia="新宋体"/>
                <w:sz w:val="24"/>
              </w:rPr>
            </w:pPr>
          </w:p>
        </w:tc>
      </w:tr>
    </w:tbl>
    <w:p/>
    <w:p>
      <w:pPr>
        <w:jc w:val="left"/>
      </w:pPr>
    </w:p>
    <w:sectPr>
      <w:headerReference r:id="rId3" w:type="default"/>
      <w:footerReference r:id="rId4" w:type="default"/>
      <w:footerReference r:id="rId5" w:type="even"/>
      <w:pgSz w:w="11906" w:h="16838"/>
      <w:pgMar w:top="2098" w:right="1279" w:bottom="1985" w:left="787" w:header="851" w:footer="992" w:gutter="0"/>
      <w:pgNumType w:fmt="numberInDash"/>
      <w:cols w:space="720" w:num="1"/>
      <w:docGrid w:type="linesAndChars" w:linePitch="481"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84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95910" cy="204470"/>
              <wp:effectExtent l="0" t="0" r="0" b="0"/>
              <wp:wrapNone/>
              <wp:docPr id="1" name="文本框 1"/>
              <wp:cNvGraphicFramePr/>
              <a:graphic xmlns:a="http://schemas.openxmlformats.org/drawingml/2006/main">
                <a:graphicData uri="http://schemas.microsoft.com/office/word/2010/wordprocessingShape">
                  <wps:wsp>
                    <wps:cNvSpPr/>
                    <wps:spPr>
                      <a:xfrm>
                        <a:off x="0" y="0"/>
                        <a:ext cx="296214" cy="204647"/>
                      </a:xfrm>
                      <a:prstGeom prst="rect">
                        <a:avLst/>
                      </a:prstGeom>
                      <a:noFill/>
                      <a:ln w="9525" cap="flat" cmpd="sng">
                        <a:noFill/>
                        <a:prstDash val="solid"/>
                        <a:round/>
                      </a:ln>
                    </wps:spPr>
                    <wps:txbx>
                      <w:txbxContent>
                        <w:p>
                          <w:pPr>
                            <w:pStyle w:val="7"/>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- 1 -</w:t>
                          </w:r>
                          <w:r>
                            <w:rPr>
                              <w:rFonts w:ascii="Times New Roman" w:hAnsi="Times New Roman"/>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6.1pt;width:23.3pt;mso-position-horizontal:outside;mso-position-horizontal-relative:margin;mso-wrap-style:none;z-index:251659264;mso-width-relative:page;mso-height-relative:page;" filled="f" stroked="f" coordsize="21600,21600" o:gfxdata="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J3ONH0gAAAAMBAAAPAAAAAAAAAAEAIAAAACIAAABkcnMvZG93bnJl&#10;di54bWxQSwECFAAUAAAACACHTuJAolBbgwMCAAD0AwAADgAAAAAAAAABACAAAAAhAQAAZHJzL2Uy&#10;b0RvYy54bWxQSwUGAAAAAAYABgBZAQAAlgUAAAAA&#10;">
              <v:fill on="f" focussize="0,0"/>
              <v:stroke on="f" joinstyle="round"/>
              <v:imagedata o:title=""/>
              <o:lock v:ext="edit" aspectratio="f"/>
              <v:textbox inset="0mm,0mm,0mm,0mm" style="mso-fit-shape-to-text:t;">
                <w:txbxContent>
                  <w:p>
                    <w:pPr>
                      <w:pStyle w:val="7"/>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- 1 -</w:t>
                    </w:r>
                    <w:r>
                      <w:rPr>
                        <w:rFonts w:ascii="Times New Roman" w:hAnsi="Times New Roman"/>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95910" cy="204470"/>
              <wp:effectExtent l="0" t="0" r="0" b="0"/>
              <wp:wrapNone/>
              <wp:docPr id="4" name="文本框 2"/>
              <wp:cNvGraphicFramePr/>
              <a:graphic xmlns:a="http://schemas.openxmlformats.org/drawingml/2006/main">
                <a:graphicData uri="http://schemas.microsoft.com/office/word/2010/wordprocessingShape">
                  <wps:wsp>
                    <wps:cNvSpPr/>
                    <wps:spPr>
                      <a:xfrm>
                        <a:off x="0" y="0"/>
                        <a:ext cx="296214" cy="204647"/>
                      </a:xfrm>
                      <a:prstGeom prst="rect">
                        <a:avLst/>
                      </a:prstGeom>
                      <a:noFill/>
                      <a:ln w="9525" cap="flat" cmpd="sng">
                        <a:noFill/>
                        <a:prstDash val="solid"/>
                        <a:round/>
                      </a:ln>
                    </wps:spPr>
                    <wps:txbx>
                      <w:txbxContent>
                        <w:p>
                          <w:pPr>
                            <w:pStyle w:val="7"/>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- 2 -</w:t>
                          </w:r>
                          <w:r>
                            <w:rPr>
                              <w:rFonts w:ascii="Times New Roman" w:hAnsi="Times New Roman"/>
                              <w:sz w:val="28"/>
                              <w:szCs w:val="28"/>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6.1pt;width:23.3pt;mso-position-horizontal:outside;mso-position-horizontal-relative:margin;mso-wrap-style:none;z-index:251659264;mso-width-relative:page;mso-height-relative:page;" filled="f" stroked="f" coordsize="21600,21600" o:gfxdata="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dzjR9IAAAADAQAADwAAAAAAAAABACAAAAAiAAAAZHJzL2Rvd25y&#10;ZXYueG1sUEsBAhQAFAAAAAgAh07iQIedHlQEAgAA9AMAAA4AAAAAAAAAAQAgAAAAIQEAAGRycy9l&#10;Mm9Eb2MueG1sUEsFBgAAAAAGAAYAWQEAAJcFAAAAAA==&#10;">
              <v:fill on="f" focussize="0,0"/>
              <v:stroke on="f" joinstyle="round"/>
              <v:imagedata o:title=""/>
              <o:lock v:ext="edit" aspectratio="f"/>
              <v:textbox inset="0mm,0mm,0mm,0mm" style="mso-fit-shape-to-text:t;">
                <w:txbxContent>
                  <w:p>
                    <w:pPr>
                      <w:pStyle w:val="7"/>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- 2 -</w:t>
                    </w:r>
                    <w:r>
                      <w:rPr>
                        <w:rFonts w:ascii="Times New Roman" w:hAnsi="Times New Roman"/>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201"/>
  <w:drawingGridVerticalSpacing w:val="481"/>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ZjgwYTUzNTAzNjQyMmE1YWY0ZDZjZGI0MWQ1NzAwNTkifQ=="/>
  </w:docVars>
  <w:rsids>
    <w:rsidRoot w:val="00000000"/>
    <w:rsid w:val="063D3945"/>
    <w:rsid w:val="187A548C"/>
    <w:rsid w:val="775B6E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ind w:firstLine="200" w:firstLineChars="200"/>
    </w:pPr>
    <w:rPr>
      <w:rFonts w:ascii="黑体" w:eastAsia="黑体"/>
      <w:sz w:val="36"/>
      <w:szCs w:val="32"/>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kern w:val="0"/>
      <w:sz w:val="24"/>
    </w:rPr>
  </w:style>
  <w:style w:type="paragraph" w:customStyle="1" w:styleId="12">
    <w:name w:val="Default"/>
    <w:qFormat/>
    <w:uiPriority w:val="0"/>
    <w:pPr>
      <w:widowControl w:val="0"/>
      <w:autoSpaceDE w:val="0"/>
      <w:autoSpaceDN w:val="0"/>
      <w:adjustRightInd w:val="0"/>
    </w:pPr>
    <w:rPr>
      <w:rFonts w:ascii="方正小标宋_GBK" w:hAnsi="方正小标宋_GBK" w:eastAsia="微软雅黑" w:cs="方正小标宋_GBK"/>
      <w:color w:val="000000"/>
      <w:sz w:val="24"/>
      <w:szCs w:val="24"/>
      <w:lang w:val="en-US" w:eastAsia="zh-CN" w:bidi="ar-SA"/>
    </w:rPr>
  </w:style>
  <w:style w:type="paragraph" w:customStyle="1" w:styleId="13">
    <w:name w:val="paragraphindentn"/>
    <w:basedOn w:val="1"/>
    <w:qFormat/>
    <w:uiPriority w:val="0"/>
    <w:pPr>
      <w:spacing w:before="210" w:line="480" w:lineRule="atLeast"/>
      <w:ind w:firstLine="420"/>
      <w:jc w:val="left"/>
    </w:pPr>
    <w:rPr>
      <w:rFonts w:ascii="宋体"/>
      <w:color w:val="4E4E4E"/>
      <w:kern w:val="0"/>
      <w:sz w:val="24"/>
    </w:rPr>
  </w:style>
  <w:style w:type="character" w:customStyle="1" w:styleId="14">
    <w:name w:val="font21"/>
    <w:basedOn w:val="11"/>
    <w:qFormat/>
    <w:uiPriority w:val="0"/>
    <w:rPr>
      <w:rFonts w:ascii="宋体" w:eastAsia="宋体" w:cs="宋体"/>
      <w:color w:val="000000"/>
      <w:sz w:val="24"/>
      <w:szCs w:val="24"/>
      <w:u w:val="none"/>
    </w:rPr>
  </w:style>
  <w:style w:type="character" w:customStyle="1" w:styleId="15">
    <w:name w:val="font11"/>
    <w:basedOn w:val="11"/>
    <w:qFormat/>
    <w:uiPriority w:val="0"/>
    <w:rPr>
      <w:rFonts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4</Pages>
  <Words>2048</Words>
  <Characters>2076</Characters>
  <Lines>372</Lines>
  <Paragraphs>129</Paragraphs>
  <TotalTime>13</TotalTime>
  <ScaleCrop>false</ScaleCrop>
  <LinksUpToDate>false</LinksUpToDate>
  <CharactersWithSpaces>2105</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2019-09-16T03:32:00Z</dcterms:created>
  <dc:creator>Billgates</dc:creator>
  <cp:lastModifiedBy>Artemis</cp:lastModifiedBy>
  <cp:lastPrinted>2023-07-20T03:03:00Z</cp:lastPrinted>
  <dcterms:modified xsi:type="dcterms:W3CDTF">2023-09-06T09:17:34Z</dcterms:modified>
  <dc:title>徐州市财政局文件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D46424848B4B49DB9245F45DB0583E96_13</vt:lpwstr>
  </property>
</Properties>
</file>