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44"/>
          <w:szCs w:val="44"/>
        </w:rPr>
        <w:t>退役军人培训政策</w:t>
      </w:r>
    </w:p>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 w:hAnsi="仿宋" w:eastAsia="仿宋" w:cs="仿宋"/>
          <w:sz w:val="32"/>
          <w:szCs w:val="32"/>
        </w:rPr>
      </w:pPr>
    </w:p>
    <w:p>
      <w:pPr>
        <w:keepNext w:val="0"/>
        <w:keepLines w:val="0"/>
        <w:pageBreakBefore w:val="0"/>
        <w:widowControl w:val="0"/>
        <w:kinsoku/>
        <w:wordWrap/>
        <w:overflowPunct/>
        <w:topLinePunct w:val="0"/>
        <w:autoSpaceDE/>
        <w:autoSpaceDN/>
        <w:bidi w:val="0"/>
        <w:adjustRightInd/>
        <w:snapToGrid/>
        <w:spacing w:line="520" w:lineRule="exact"/>
        <w:ind w:firstLine="648"/>
        <w:textAlignment w:val="auto"/>
        <w:rPr>
          <w:rFonts w:hint="eastAsia" w:ascii="仿宋" w:hAnsi="仿宋" w:eastAsia="仿宋" w:cs="仿宋"/>
          <w:sz w:val="32"/>
          <w:szCs w:val="32"/>
        </w:rPr>
      </w:pPr>
      <w:r>
        <w:rPr>
          <w:rFonts w:hint="eastAsia" w:ascii="仿宋" w:hAnsi="仿宋" w:eastAsia="仿宋" w:cs="仿宋"/>
          <w:sz w:val="32"/>
          <w:szCs w:val="32"/>
        </w:rPr>
        <w:t>“为转业军人提供必要的职业培训。”这是《国防法》做出的规定，是国家做好退役军人安置工作的一项重要内容，也是每名退役军人应当享有的权利。</w:t>
      </w:r>
    </w:p>
    <w:p>
      <w:pPr>
        <w:keepNext w:val="0"/>
        <w:keepLines w:val="0"/>
        <w:pageBreakBefore w:val="0"/>
        <w:widowControl w:val="0"/>
        <w:kinsoku/>
        <w:wordWrap/>
        <w:overflowPunct/>
        <w:topLinePunct w:val="0"/>
        <w:autoSpaceDE/>
        <w:autoSpaceDN/>
        <w:bidi w:val="0"/>
        <w:adjustRightInd/>
        <w:snapToGrid/>
        <w:spacing w:line="520" w:lineRule="exact"/>
        <w:ind w:firstLine="648"/>
        <w:textAlignment w:val="auto"/>
        <w:rPr>
          <w:rFonts w:hint="eastAsia" w:ascii="仿宋" w:hAnsi="仿宋" w:eastAsia="仿宋" w:cs="仿宋"/>
          <w:sz w:val="32"/>
          <w:szCs w:val="32"/>
        </w:rPr>
      </w:pPr>
      <w:bookmarkStart w:id="0" w:name="_GoBack"/>
      <w:bookmarkEnd w:id="0"/>
    </w:p>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 w:hAnsi="仿宋" w:eastAsia="仿宋" w:cs="仿宋"/>
          <w:sz w:val="32"/>
          <w:szCs w:val="32"/>
        </w:rPr>
      </w:pPr>
      <w:r>
        <w:rPr>
          <w:rFonts w:hint="eastAsia" w:ascii="仿宋" w:hAnsi="仿宋" w:eastAsia="仿宋" w:cs="仿宋"/>
          <w:sz w:val="32"/>
          <w:szCs w:val="32"/>
        </w:rPr>
        <w:t>　　</w:t>
      </w:r>
      <w:r>
        <w:rPr>
          <w:rFonts w:hint="eastAsia" w:ascii="微软雅黑" w:hAnsi="微软雅黑" w:eastAsia="微软雅黑" w:cs="微软雅黑"/>
          <w:color w:val="0000FF"/>
          <w:sz w:val="32"/>
          <w:szCs w:val="32"/>
        </w:rPr>
        <w:t>计划分配军转干部培训</w:t>
      </w:r>
    </w:p>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黑体" w:hAnsi="黑体" w:eastAsia="黑体" w:cs="黑体"/>
          <w:sz w:val="32"/>
          <w:szCs w:val="32"/>
        </w:rPr>
      </w:pPr>
      <w:r>
        <w:rPr>
          <w:rFonts w:hint="eastAsia" w:ascii="仿宋" w:hAnsi="仿宋" w:eastAsia="仿宋" w:cs="仿宋"/>
          <w:sz w:val="32"/>
          <w:szCs w:val="32"/>
        </w:rPr>
        <w:t>　　</w:t>
      </w:r>
      <w:r>
        <w:rPr>
          <w:rFonts w:hint="eastAsia" w:ascii="黑体" w:hAnsi="黑体" w:eastAsia="黑体" w:cs="黑体"/>
          <w:sz w:val="32"/>
          <w:szCs w:val="32"/>
        </w:rPr>
        <w:t>1.离队前教育培训</w:t>
      </w:r>
    </w:p>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 w:hAnsi="仿宋" w:eastAsia="仿宋" w:cs="仿宋"/>
          <w:sz w:val="32"/>
          <w:szCs w:val="32"/>
        </w:rPr>
      </w:pPr>
      <w:r>
        <w:rPr>
          <w:rFonts w:hint="eastAsia" w:ascii="仿宋" w:hAnsi="仿宋" w:eastAsia="仿宋" w:cs="仿宋"/>
          <w:sz w:val="32"/>
          <w:szCs w:val="32"/>
        </w:rPr>
        <w:t>　　军转干部在离开部队前参加此类培训，一般由部队单位组织实施，主要包括形势政策、择业指导、组织纪律、安全保密等内容。</w:t>
      </w:r>
    </w:p>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黑体" w:hAnsi="黑体" w:eastAsia="黑体" w:cs="黑体"/>
          <w:sz w:val="32"/>
          <w:szCs w:val="32"/>
        </w:rPr>
      </w:pPr>
      <w:r>
        <w:rPr>
          <w:rFonts w:hint="eastAsia" w:ascii="仿宋" w:hAnsi="仿宋" w:eastAsia="仿宋" w:cs="仿宋"/>
          <w:sz w:val="32"/>
          <w:szCs w:val="32"/>
        </w:rPr>
        <w:t>　　</w:t>
      </w:r>
      <w:r>
        <w:rPr>
          <w:rFonts w:hint="eastAsia" w:ascii="黑体" w:hAnsi="黑体" w:eastAsia="黑体" w:cs="黑体"/>
          <w:sz w:val="32"/>
          <w:szCs w:val="32"/>
        </w:rPr>
        <w:t>2.适应性培训</w:t>
      </w:r>
    </w:p>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 w:hAnsi="仿宋" w:eastAsia="仿宋" w:cs="仿宋"/>
          <w:sz w:val="32"/>
          <w:szCs w:val="32"/>
        </w:rPr>
      </w:pPr>
      <w:r>
        <w:rPr>
          <w:rFonts w:hint="eastAsia" w:ascii="仿宋" w:hAnsi="仿宋" w:eastAsia="仿宋" w:cs="仿宋"/>
          <w:sz w:val="32"/>
          <w:szCs w:val="32"/>
        </w:rPr>
        <w:t>　　为使广大军转干部熟悉了解地方情况，树立正确择业观念，提高适应能力。培训一般分层次组织实施，师职军转干部的教育培训由中央组织部会同有关部门组织实施，团职以下军转干部主要由各省市退役军人事务部门负责组织实施，时间不少于5天（30学时）。主要介绍地方党政机构、经济社会体制改革形势和干部人事制度；介绍国家和本地区政治、经济、社会、文化建设状况及发展趋势；介绍地方人才需求、使用情况、安置政策和程序办法及讲授有关法律法规和政策制度等。</w:t>
      </w:r>
    </w:p>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黑体" w:hAnsi="黑体" w:eastAsia="黑体" w:cs="黑体"/>
          <w:sz w:val="32"/>
          <w:szCs w:val="32"/>
        </w:rPr>
      </w:pPr>
      <w:r>
        <w:rPr>
          <w:rFonts w:hint="eastAsia" w:ascii="仿宋" w:hAnsi="仿宋" w:eastAsia="仿宋" w:cs="仿宋"/>
          <w:sz w:val="32"/>
          <w:szCs w:val="32"/>
        </w:rPr>
        <w:t>　</w:t>
      </w:r>
      <w:r>
        <w:rPr>
          <w:rFonts w:hint="eastAsia" w:ascii="黑体" w:hAnsi="黑体" w:eastAsia="黑体" w:cs="黑体"/>
          <w:sz w:val="32"/>
          <w:szCs w:val="32"/>
        </w:rPr>
        <w:t>　3.专业培训</w:t>
      </w:r>
    </w:p>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 w:hAnsi="仿宋" w:eastAsia="仿宋" w:cs="仿宋"/>
          <w:sz w:val="32"/>
          <w:szCs w:val="32"/>
        </w:rPr>
      </w:pPr>
      <w:r>
        <w:rPr>
          <w:rFonts w:hint="eastAsia" w:ascii="仿宋" w:hAnsi="仿宋" w:eastAsia="仿宋" w:cs="仿宋"/>
          <w:sz w:val="32"/>
          <w:szCs w:val="32"/>
        </w:rPr>
        <w:t>　　专业培训一般是在转业干部确定岗位后，本着缺什么补什么的原则，按岗位专业编班组织，着力提高军转干部的工作能力和水平。由安置地退役军人事务部门组织，时间上不少于3个月。以中央单位军转干部专业培训为例，分别委托清华大学、北京大学承训，针对安置到机关事业单位和央企的不同需求开展。根据军转干部安置岗位不同，分为党政管理、社会事业、企业发展3个培训班。主要内容：①专业知识，介绍各行业系统的必备知识、主要特点、基本专业和有关要求等；②岗位知识和技能，进一步熟悉了解岗位的工作特点、业务内容、具体要求，熟练掌握工作规范和基本操作技能等。</w:t>
      </w:r>
    </w:p>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黑体" w:hAnsi="黑体" w:eastAsia="黑体" w:cs="黑体"/>
          <w:sz w:val="32"/>
          <w:szCs w:val="32"/>
        </w:rPr>
      </w:pPr>
      <w:r>
        <w:rPr>
          <w:rFonts w:hint="eastAsia" w:ascii="仿宋" w:hAnsi="仿宋" w:eastAsia="仿宋" w:cs="仿宋"/>
          <w:sz w:val="32"/>
          <w:szCs w:val="32"/>
        </w:rPr>
        <w:t>　　</w:t>
      </w:r>
      <w:r>
        <w:rPr>
          <w:rFonts w:hint="eastAsia" w:ascii="黑体" w:hAnsi="黑体" w:eastAsia="黑体" w:cs="黑体"/>
          <w:sz w:val="32"/>
          <w:szCs w:val="32"/>
        </w:rPr>
        <w:t>4.进高校专项培训</w:t>
      </w:r>
    </w:p>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 w:hAnsi="仿宋" w:eastAsia="仿宋" w:cs="仿宋"/>
          <w:sz w:val="32"/>
          <w:szCs w:val="32"/>
        </w:rPr>
      </w:pPr>
      <w:r>
        <w:rPr>
          <w:rFonts w:hint="eastAsia" w:ascii="仿宋" w:hAnsi="仿宋" w:eastAsia="仿宋" w:cs="仿宋"/>
          <w:sz w:val="32"/>
          <w:szCs w:val="32"/>
        </w:rPr>
        <w:t>　　退役军人事务部门和接收单位根据岗位需要和本人实际情况，将专业不对口的军转干部送到高等学校，系统学习专业知识，提高岗位工作能力，解决军队人才向地方经济建设人才转型的问题。此项培训为深化国防和军队改革期间的一项探索，由安置地退役军人事务部门会同接收单位委托优质高校，对符合条件的军转干部进行为期1年的带薪脱产教育培训。军转干部在校表现、专业课程和实训成绩等综合考核情况，作为干部培训材料纳入档案，并作为今后安排使用的重要依据。</w:t>
      </w:r>
    </w:p>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 w:hAnsi="仿宋" w:eastAsia="仿宋" w:cs="仿宋"/>
          <w:sz w:val="32"/>
          <w:szCs w:val="32"/>
        </w:rPr>
      </w:pPr>
      <w:r>
        <w:rPr>
          <w:rFonts w:hint="eastAsia" w:ascii="仿宋" w:hAnsi="仿宋" w:eastAsia="仿宋" w:cs="仿宋"/>
          <w:sz w:val="32"/>
          <w:szCs w:val="32"/>
        </w:rPr>
        <w:t>　　经费保障：国转联〔2008〕5号文件规定，自2008年起，计划分配军转干部经费标准确定为每人3300元（300元用于适应性培训，3000元用于专业培训）。培训经费按原渠道划拨。地方财政也加大军转干部教育培训经费支持力度。进高校培训所需经费，中央财政按每人每年1万元标准核拨专项经费，不足部分由地方财政补助。</w:t>
      </w:r>
    </w:p>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 w:hAnsi="仿宋" w:eastAsia="仿宋" w:cs="仿宋"/>
          <w:sz w:val="32"/>
          <w:szCs w:val="32"/>
        </w:rPr>
      </w:pPr>
    </w:p>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微软雅黑" w:hAnsi="微软雅黑" w:eastAsia="微软雅黑" w:cs="微软雅黑"/>
          <w:sz w:val="32"/>
          <w:szCs w:val="32"/>
        </w:rPr>
      </w:pPr>
      <w:r>
        <w:rPr>
          <w:rFonts w:hint="eastAsia" w:ascii="微软雅黑" w:hAnsi="微软雅黑" w:eastAsia="微软雅黑" w:cs="微软雅黑"/>
          <w:sz w:val="32"/>
          <w:szCs w:val="32"/>
        </w:rPr>
        <w:t>　</w:t>
      </w:r>
      <w:r>
        <w:rPr>
          <w:rFonts w:hint="eastAsia" w:ascii="微软雅黑" w:hAnsi="微软雅黑" w:eastAsia="微软雅黑" w:cs="微软雅黑"/>
          <w:color w:val="0000FF"/>
          <w:sz w:val="32"/>
          <w:szCs w:val="32"/>
        </w:rPr>
        <w:t>　自主择业军转干部培训</w:t>
      </w:r>
    </w:p>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黑体" w:hAnsi="黑体" w:eastAsia="黑体" w:cs="黑体"/>
          <w:sz w:val="32"/>
          <w:szCs w:val="32"/>
        </w:rPr>
      </w:pPr>
      <w:r>
        <w:rPr>
          <w:rFonts w:hint="eastAsia" w:ascii="仿宋" w:hAnsi="仿宋" w:eastAsia="仿宋" w:cs="仿宋"/>
          <w:sz w:val="32"/>
          <w:szCs w:val="32"/>
        </w:rPr>
        <w:t>　　</w:t>
      </w:r>
      <w:r>
        <w:rPr>
          <w:rFonts w:hint="eastAsia" w:ascii="黑体" w:hAnsi="黑体" w:eastAsia="黑体" w:cs="黑体"/>
          <w:sz w:val="32"/>
          <w:szCs w:val="32"/>
        </w:rPr>
        <w:t>1.离队前教育培训</w:t>
      </w:r>
    </w:p>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 w:hAnsi="仿宋" w:eastAsia="仿宋" w:cs="仿宋"/>
          <w:sz w:val="32"/>
          <w:szCs w:val="32"/>
        </w:rPr>
      </w:pPr>
      <w:r>
        <w:rPr>
          <w:rFonts w:hint="eastAsia" w:ascii="仿宋" w:hAnsi="仿宋" w:eastAsia="仿宋" w:cs="仿宋"/>
          <w:sz w:val="32"/>
          <w:szCs w:val="32"/>
        </w:rPr>
        <w:t>　　自主择业军转干部在离开部队前也要参加此类培训，一般由部队单位组织实施，主要包括形势政策、择业指导、组织纪律、安全保密等内容。</w:t>
      </w:r>
    </w:p>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 w:hAnsi="仿宋" w:eastAsia="仿宋" w:cs="仿宋"/>
          <w:sz w:val="32"/>
          <w:szCs w:val="32"/>
        </w:rPr>
      </w:pPr>
      <w:r>
        <w:rPr>
          <w:rFonts w:hint="eastAsia" w:ascii="仿宋" w:hAnsi="仿宋" w:eastAsia="仿宋" w:cs="仿宋"/>
          <w:sz w:val="32"/>
          <w:szCs w:val="32"/>
        </w:rPr>
        <w:t>　　</w:t>
      </w:r>
      <w:r>
        <w:rPr>
          <w:rFonts w:hint="eastAsia" w:ascii="黑体" w:hAnsi="黑体" w:eastAsia="黑体" w:cs="黑体"/>
          <w:sz w:val="32"/>
          <w:szCs w:val="32"/>
        </w:rPr>
        <w:t>2.适应性培训</w:t>
      </w:r>
    </w:p>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 w:hAnsi="仿宋" w:eastAsia="仿宋" w:cs="仿宋"/>
          <w:sz w:val="32"/>
          <w:szCs w:val="32"/>
        </w:rPr>
      </w:pPr>
      <w:r>
        <w:rPr>
          <w:rFonts w:hint="eastAsia" w:ascii="仿宋" w:hAnsi="仿宋" w:eastAsia="仿宋" w:cs="仿宋"/>
          <w:sz w:val="32"/>
          <w:szCs w:val="32"/>
        </w:rPr>
        <w:t>　　主要包括国家和安置地经济社会发展形势、自主择业管理服务相关规定、就业创业有关政策法规及指导等，培训时间不少于5天（30学时）。</w:t>
      </w:r>
    </w:p>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黑体" w:hAnsi="黑体" w:eastAsia="黑体" w:cs="黑体"/>
          <w:sz w:val="32"/>
          <w:szCs w:val="32"/>
        </w:rPr>
      </w:pPr>
      <w:r>
        <w:rPr>
          <w:rFonts w:hint="eastAsia" w:ascii="仿宋" w:hAnsi="仿宋" w:eastAsia="仿宋" w:cs="仿宋"/>
          <w:sz w:val="32"/>
          <w:szCs w:val="32"/>
        </w:rPr>
        <w:t>　　</w:t>
      </w:r>
      <w:r>
        <w:rPr>
          <w:rFonts w:hint="eastAsia" w:ascii="黑体" w:hAnsi="黑体" w:eastAsia="黑体" w:cs="黑体"/>
          <w:sz w:val="32"/>
          <w:szCs w:val="32"/>
        </w:rPr>
        <w:t>3.个性化培训</w:t>
      </w:r>
    </w:p>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 w:hAnsi="仿宋" w:eastAsia="仿宋" w:cs="仿宋"/>
          <w:sz w:val="32"/>
          <w:szCs w:val="32"/>
        </w:rPr>
      </w:pPr>
      <w:r>
        <w:rPr>
          <w:rFonts w:hint="eastAsia" w:ascii="仿宋" w:hAnsi="仿宋" w:eastAsia="仿宋" w:cs="仿宋"/>
          <w:sz w:val="32"/>
          <w:szCs w:val="32"/>
        </w:rPr>
        <w:t>　　由于自主择业军转干部专长各异，兴趣爱好广泛、就业意向多元、开展个性化培训十分必要。自主择业军转干部可以根据个人需求，到指定或认可的培训机构参加培训，结业后取得相应证书。个性化教育培训主要围绕自主择业军转干部就业创业的需求来安排，开展方式因地而异，有的地区提供培训清单，供自主择业军转干部选择，统一组织实施。</w:t>
      </w:r>
    </w:p>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黑体" w:hAnsi="黑体" w:eastAsia="黑体" w:cs="黑体"/>
          <w:sz w:val="32"/>
          <w:szCs w:val="32"/>
        </w:rPr>
      </w:pPr>
      <w:r>
        <w:rPr>
          <w:rFonts w:hint="eastAsia" w:ascii="仿宋" w:hAnsi="仿宋" w:eastAsia="仿宋" w:cs="仿宋"/>
          <w:sz w:val="32"/>
          <w:szCs w:val="32"/>
        </w:rPr>
        <w:t>　　</w:t>
      </w:r>
      <w:r>
        <w:rPr>
          <w:rFonts w:hint="eastAsia" w:ascii="黑体" w:hAnsi="黑体" w:eastAsia="黑体" w:cs="黑体"/>
          <w:sz w:val="32"/>
          <w:szCs w:val="32"/>
        </w:rPr>
        <w:t>4.网络培训</w:t>
      </w:r>
    </w:p>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 w:hAnsi="仿宋" w:eastAsia="仿宋" w:cs="仿宋"/>
          <w:sz w:val="32"/>
          <w:szCs w:val="32"/>
        </w:rPr>
      </w:pPr>
      <w:r>
        <w:rPr>
          <w:rFonts w:hint="eastAsia" w:ascii="仿宋" w:hAnsi="仿宋" w:eastAsia="仿宋" w:cs="仿宋"/>
          <w:sz w:val="32"/>
          <w:szCs w:val="32"/>
        </w:rPr>
        <w:t>　　自主择业军转干部可以根据个人职业生涯发展需要，自主选择网络学习课程。凭学习卡参加，总计修满80学时，经考核合格获颁证书。自2009年在清华大学试点以来，自主择业网络培训至今已有11个年头，累计上线课程1000余学时，学习有效期由3年变为“终身有效”，报名参训的自主择业军转干部自开卡日起可以一直在线学习。结业考核时限为1年，在第一学年考核合格的学员可申领结业证书；如特殊情况可申请延期1年结业。</w:t>
      </w:r>
    </w:p>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 w:hAnsi="仿宋" w:eastAsia="仿宋" w:cs="仿宋"/>
          <w:sz w:val="32"/>
          <w:szCs w:val="32"/>
        </w:rPr>
      </w:pPr>
      <w:r>
        <w:rPr>
          <w:rFonts w:hint="eastAsia" w:ascii="仿宋" w:hAnsi="仿宋" w:eastAsia="仿宋" w:cs="仿宋"/>
          <w:sz w:val="32"/>
          <w:szCs w:val="32"/>
        </w:rPr>
        <w:t>　　经费保障：根据国转联〔2008〕5号文件，自主择业军转干部经费标准确定为每人4800元（300元用于适应性培训，4500元用于专业培训）。自主择业军转干部适应性培训、网络培训、个人选定的培训经费要分开使用，不得互相挪用。个性化教育培训经费不得支付给个人，不得拿发票报销。</w:t>
      </w:r>
    </w:p>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 w:hAnsi="仿宋" w:eastAsia="仿宋" w:cs="仿宋"/>
          <w:sz w:val="32"/>
          <w:szCs w:val="32"/>
        </w:rPr>
      </w:pPr>
    </w:p>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 w:hAnsi="仿宋" w:eastAsia="仿宋" w:cs="仿宋"/>
          <w:color w:val="C00000"/>
          <w:sz w:val="32"/>
          <w:szCs w:val="32"/>
        </w:rPr>
      </w:pPr>
      <w:r>
        <w:rPr>
          <w:rFonts w:hint="eastAsia" w:ascii="仿宋" w:hAnsi="仿宋" w:eastAsia="仿宋" w:cs="仿宋"/>
          <w:color w:val="C00000"/>
          <w:sz w:val="32"/>
          <w:szCs w:val="32"/>
        </w:rPr>
        <w:t>链接：</w:t>
      </w:r>
    </w:p>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 w:hAnsi="仿宋" w:eastAsia="仿宋" w:cs="仿宋"/>
          <w:sz w:val="32"/>
          <w:szCs w:val="32"/>
        </w:rPr>
      </w:pPr>
      <w:r>
        <w:rPr>
          <w:rFonts w:hint="eastAsia" w:ascii="仿宋" w:hAnsi="仿宋" w:eastAsia="仿宋" w:cs="仿宋"/>
          <w:sz w:val="32"/>
          <w:szCs w:val="32"/>
        </w:rPr>
        <w:t>　　</w:t>
      </w:r>
      <w:r>
        <w:rPr>
          <w:rFonts w:hint="eastAsia" w:ascii="黑体" w:hAnsi="黑体" w:eastAsia="黑体" w:cs="黑体"/>
          <w:sz w:val="32"/>
          <w:szCs w:val="32"/>
        </w:rPr>
        <w:t>军转干部培训政策依据主要有</w:t>
      </w:r>
    </w:p>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 w:hAnsi="仿宋" w:eastAsia="仿宋" w:cs="仿宋"/>
          <w:sz w:val="32"/>
          <w:szCs w:val="32"/>
        </w:rPr>
      </w:pPr>
      <w:r>
        <w:rPr>
          <w:rFonts w:hint="eastAsia" w:ascii="仿宋" w:hAnsi="仿宋" w:eastAsia="仿宋" w:cs="仿宋"/>
          <w:sz w:val="32"/>
          <w:szCs w:val="32"/>
        </w:rPr>
        <w:t>　　1《军队转业干部安置暂行办法》；</w:t>
      </w:r>
    </w:p>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 w:hAnsi="仿宋" w:eastAsia="仿宋" w:cs="仿宋"/>
          <w:sz w:val="32"/>
          <w:szCs w:val="32"/>
        </w:rPr>
      </w:pPr>
      <w:r>
        <w:rPr>
          <w:rFonts w:hint="eastAsia" w:ascii="仿宋" w:hAnsi="仿宋" w:eastAsia="仿宋" w:cs="仿宋"/>
          <w:sz w:val="32"/>
          <w:szCs w:val="32"/>
        </w:rPr>
        <w:t>　　2《关于加强和改进军队转业干部教育培训工作的意见》；</w:t>
      </w:r>
    </w:p>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 w:hAnsi="仿宋" w:eastAsia="仿宋" w:cs="仿宋"/>
          <w:sz w:val="32"/>
          <w:szCs w:val="32"/>
        </w:rPr>
      </w:pPr>
      <w:r>
        <w:rPr>
          <w:rFonts w:hint="eastAsia" w:ascii="仿宋" w:hAnsi="仿宋" w:eastAsia="仿宋" w:cs="仿宋"/>
          <w:sz w:val="32"/>
          <w:szCs w:val="32"/>
        </w:rPr>
        <w:t>　　3《关于在全国开展自主择业军队转业干部网络培训工作的通知》；</w:t>
      </w:r>
    </w:p>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 w:hAnsi="仿宋" w:eastAsia="仿宋" w:cs="仿宋"/>
          <w:sz w:val="32"/>
          <w:szCs w:val="32"/>
        </w:rPr>
      </w:pPr>
      <w:r>
        <w:rPr>
          <w:rFonts w:hint="eastAsia" w:ascii="仿宋" w:hAnsi="仿宋" w:eastAsia="仿宋" w:cs="仿宋"/>
          <w:sz w:val="32"/>
          <w:szCs w:val="32"/>
        </w:rPr>
        <w:t>　　4《军队转业复员干部移交安置工作规定》；</w:t>
      </w:r>
    </w:p>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 w:hAnsi="仿宋" w:eastAsia="仿宋" w:cs="仿宋"/>
          <w:sz w:val="32"/>
          <w:szCs w:val="32"/>
        </w:rPr>
      </w:pPr>
      <w:r>
        <w:rPr>
          <w:rFonts w:hint="eastAsia" w:ascii="仿宋" w:hAnsi="仿宋" w:eastAsia="仿宋" w:cs="仿宋"/>
          <w:sz w:val="32"/>
          <w:szCs w:val="32"/>
        </w:rPr>
        <w:t>　　5《关于探索开展军队转业干部进高等学校专项培训的指导意见》；</w:t>
      </w:r>
    </w:p>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 w:hAnsi="仿宋" w:eastAsia="仿宋" w:cs="仿宋"/>
          <w:sz w:val="32"/>
          <w:szCs w:val="32"/>
        </w:rPr>
      </w:pPr>
      <w:r>
        <w:rPr>
          <w:rFonts w:hint="eastAsia" w:ascii="仿宋" w:hAnsi="仿宋" w:eastAsia="仿宋" w:cs="仿宋"/>
          <w:sz w:val="32"/>
          <w:szCs w:val="32"/>
        </w:rPr>
        <w:t>　　</w:t>
      </w:r>
    </w:p>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微软雅黑" w:hAnsi="微软雅黑" w:eastAsia="微软雅黑" w:cs="微软雅黑"/>
          <w:color w:val="5B9BD5" w:themeColor="accent1"/>
          <w:sz w:val="32"/>
          <w:szCs w:val="32"/>
          <w14:textFill>
            <w14:solidFill>
              <w14:schemeClr w14:val="accent1"/>
            </w14:solidFill>
          </w14:textFill>
        </w:rPr>
      </w:pPr>
      <w:r>
        <w:rPr>
          <w:rFonts w:hint="eastAsia" w:ascii="微软雅黑" w:hAnsi="微软雅黑" w:eastAsia="微软雅黑" w:cs="微软雅黑"/>
          <w:sz w:val="32"/>
          <w:szCs w:val="32"/>
        </w:rPr>
        <w:t>　　</w:t>
      </w:r>
      <w:r>
        <w:rPr>
          <w:rFonts w:hint="eastAsia" w:ascii="微软雅黑" w:hAnsi="微软雅黑" w:eastAsia="微软雅黑" w:cs="微软雅黑"/>
          <w:color w:val="0000FF"/>
          <w:sz w:val="32"/>
          <w:szCs w:val="32"/>
        </w:rPr>
        <w:t>退役士兵教育培训</w:t>
      </w:r>
    </w:p>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 w:hAnsi="仿宋" w:eastAsia="仿宋" w:cs="仿宋"/>
          <w:sz w:val="32"/>
          <w:szCs w:val="32"/>
        </w:rPr>
      </w:pPr>
      <w:r>
        <w:rPr>
          <w:rFonts w:hint="eastAsia" w:ascii="仿宋" w:hAnsi="仿宋" w:eastAsia="仿宋" w:cs="仿宋"/>
          <w:sz w:val="32"/>
          <w:szCs w:val="32"/>
        </w:rPr>
        <w:t>　　《兵役法》 《退役士兵安置条例》等文件，对退役士兵培训工作提出要求。伴随着退役军人事务机构组建，退役士兵培训工作更加规范有序，并不断纳入到国家学历教育和职业教育“大盘子”，搭上推进退役军人优待工作的“直通车”，有力保障了退役士兵的培训权利。</w:t>
      </w:r>
    </w:p>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 w:hAnsi="仿宋" w:eastAsia="仿宋" w:cs="仿宋"/>
          <w:sz w:val="32"/>
          <w:szCs w:val="32"/>
        </w:rPr>
      </w:pPr>
      <w:r>
        <w:rPr>
          <w:rFonts w:hint="eastAsia" w:ascii="仿宋" w:hAnsi="仿宋" w:eastAsia="仿宋" w:cs="仿宋"/>
          <w:sz w:val="32"/>
          <w:szCs w:val="32"/>
        </w:rPr>
        <w:t>　　</w:t>
      </w:r>
      <w:r>
        <w:rPr>
          <w:rFonts w:hint="eastAsia" w:ascii="黑体" w:hAnsi="黑体" w:eastAsia="黑体" w:cs="黑体"/>
          <w:sz w:val="32"/>
          <w:szCs w:val="32"/>
        </w:rPr>
        <w:t>技能培训</w:t>
      </w:r>
    </w:p>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 w:hAnsi="仿宋" w:eastAsia="仿宋" w:cs="仿宋"/>
          <w:sz w:val="32"/>
          <w:szCs w:val="32"/>
        </w:rPr>
      </w:pPr>
      <w:r>
        <w:rPr>
          <w:rFonts w:hint="eastAsia" w:ascii="仿宋" w:hAnsi="仿宋" w:eastAsia="仿宋" w:cs="仿宋"/>
          <w:sz w:val="32"/>
          <w:szCs w:val="32"/>
        </w:rPr>
        <w:t>　　退役军人事务部等军地12个部门联合印发《关于促进新时代退役军人就业创业工作的意见》规定，引导退役军人积极参加职业技能培训，退役后可选择接受一次免费（免学杂费、免住宿费、免技能鉴定费）培训，并享受培训期间生活补助。教育培训期限一般为2年，最短不少于3个月。</w:t>
      </w:r>
    </w:p>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 w:hAnsi="仿宋" w:eastAsia="仿宋" w:cs="仿宋"/>
          <w:sz w:val="32"/>
          <w:szCs w:val="32"/>
        </w:rPr>
      </w:pPr>
      <w:r>
        <w:rPr>
          <w:rFonts w:hint="eastAsia" w:ascii="仿宋" w:hAnsi="仿宋" w:eastAsia="仿宋" w:cs="仿宋"/>
          <w:sz w:val="32"/>
          <w:szCs w:val="32"/>
        </w:rPr>
        <w:t>　　退役军人接受中等职业教育可实行注册入学。中等职业教育期间，按规定享受免学费和国家助学金资助。</w:t>
      </w:r>
    </w:p>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黑体" w:hAnsi="黑体" w:eastAsia="黑体" w:cs="黑体"/>
          <w:sz w:val="32"/>
          <w:szCs w:val="32"/>
        </w:rPr>
      </w:pPr>
      <w:r>
        <w:rPr>
          <w:rFonts w:hint="eastAsia" w:ascii="仿宋" w:hAnsi="仿宋" w:eastAsia="仿宋" w:cs="仿宋"/>
          <w:sz w:val="32"/>
          <w:szCs w:val="32"/>
        </w:rPr>
        <w:t>　　</w:t>
      </w:r>
      <w:r>
        <w:rPr>
          <w:rFonts w:hint="eastAsia" w:ascii="黑体" w:hAnsi="黑体" w:eastAsia="黑体" w:cs="黑体"/>
          <w:sz w:val="32"/>
          <w:szCs w:val="32"/>
        </w:rPr>
        <w:t>高职院校扩招</w:t>
      </w:r>
    </w:p>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 w:hAnsi="仿宋" w:eastAsia="仿宋" w:cs="仿宋"/>
          <w:sz w:val="32"/>
          <w:szCs w:val="32"/>
        </w:rPr>
      </w:pPr>
      <w:r>
        <w:rPr>
          <w:rFonts w:hint="eastAsia" w:ascii="仿宋" w:hAnsi="仿宋" w:eastAsia="仿宋" w:cs="仿宋"/>
          <w:sz w:val="32"/>
          <w:szCs w:val="32"/>
        </w:rPr>
        <w:t>　　2019年，教育部等六部门联合制定《关于印发〈高职扩招专项工作实施方案〉的通知》，高职院校扩招100万人，其中，面向普通高中和中职毕业生、退役军人等广大群体于高考前组织一次报名，10月份面向退役军人再增加一次报名。针对退役军人、下岗失业人员、农民工和新型职业农民单列招生计划，可免除文化素质考试，由学校组织相关职业适应性测试或技能测试。同时，对符合条件的退役军人按照规定进行学费减免。</w:t>
      </w:r>
    </w:p>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 w:hAnsi="仿宋" w:eastAsia="仿宋" w:cs="仿宋"/>
          <w:sz w:val="32"/>
          <w:szCs w:val="32"/>
        </w:rPr>
      </w:pPr>
      <w:r>
        <w:rPr>
          <w:rFonts w:hint="eastAsia" w:ascii="仿宋" w:hAnsi="仿宋" w:eastAsia="仿宋" w:cs="仿宋"/>
          <w:sz w:val="32"/>
          <w:szCs w:val="32"/>
        </w:rPr>
        <w:t>　　教育部办公厅、退役军人事务部办公厅、财政部办公厅《关于全面做好退役士兵职业教育工作的通知》进一步明确，鼓励符合高考报名条件的退役士兵报考高职院校，由省级教育部门指导有关高职院校在高职分类招生考试中采取自愿报名、单列计划、单独录取的办法组织实施，确保达到基本培养要求的考生能被录取。</w:t>
      </w:r>
    </w:p>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 w:hAnsi="仿宋" w:eastAsia="仿宋" w:cs="仿宋"/>
          <w:sz w:val="32"/>
          <w:szCs w:val="32"/>
        </w:rPr>
      </w:pPr>
      <w:r>
        <w:rPr>
          <w:rFonts w:hint="eastAsia" w:ascii="仿宋" w:hAnsi="仿宋" w:eastAsia="仿宋" w:cs="仿宋"/>
          <w:sz w:val="32"/>
          <w:szCs w:val="32"/>
        </w:rPr>
        <w:t>　　</w:t>
      </w:r>
      <w:r>
        <w:rPr>
          <w:rFonts w:hint="eastAsia" w:ascii="黑体" w:hAnsi="黑体" w:eastAsia="黑体" w:cs="黑体"/>
          <w:sz w:val="32"/>
          <w:szCs w:val="32"/>
        </w:rPr>
        <w:t>学历教育</w:t>
      </w:r>
    </w:p>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 w:hAnsi="仿宋" w:eastAsia="仿宋" w:cs="仿宋"/>
          <w:sz w:val="32"/>
          <w:szCs w:val="32"/>
        </w:rPr>
      </w:pPr>
      <w:r>
        <w:rPr>
          <w:rFonts w:hint="eastAsia" w:ascii="仿宋" w:hAnsi="仿宋" w:eastAsia="仿宋" w:cs="仿宋"/>
          <w:sz w:val="32"/>
          <w:szCs w:val="32"/>
        </w:rPr>
        <w:t>　　《关于促进新时代退役军人就业创业工作的意见》明确，退役军人参加全国普通高考、成人高考、研究生考试，符合条件的可享受加分照顾，同等条件下优先录取。</w:t>
      </w:r>
    </w:p>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 w:hAnsi="仿宋" w:eastAsia="仿宋" w:cs="仿宋"/>
          <w:sz w:val="32"/>
          <w:szCs w:val="32"/>
        </w:rPr>
      </w:pPr>
      <w:r>
        <w:rPr>
          <w:rFonts w:hint="eastAsia" w:ascii="仿宋" w:hAnsi="仿宋" w:eastAsia="仿宋" w:cs="仿宋"/>
          <w:sz w:val="32"/>
          <w:szCs w:val="32"/>
        </w:rPr>
        <w:t>　　①成人高校招生专升本免试入学。服役期间立二等功以上且符合报考条件的，可申请免初试攻读硕士研究生。2016年起，教育部设立“退役大学生士兵”专项硕士研究生招生计划，专项计划在全国研究生招生总规模内单列下达，专项专用。</w:t>
      </w:r>
    </w:p>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 w:hAnsi="仿宋" w:eastAsia="仿宋" w:cs="仿宋"/>
          <w:sz w:val="32"/>
          <w:szCs w:val="32"/>
        </w:rPr>
      </w:pPr>
      <w:r>
        <w:rPr>
          <w:rFonts w:hint="eastAsia" w:ascii="仿宋" w:hAnsi="仿宋" w:eastAsia="仿宋" w:cs="仿宋"/>
          <w:sz w:val="32"/>
          <w:szCs w:val="32"/>
        </w:rPr>
        <w:t>　　②对退役一年以上、参加全国统一高考，考入全日制普通本科和高专高职学校的自主就业退役士兵，学历教育期间按规定享受学费资助和相关助学金资助，家庭经济困难退役士兵享受学生生活费补助。</w:t>
      </w:r>
    </w:p>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 w:hAnsi="仿宋" w:eastAsia="仿宋" w:cs="仿宋"/>
          <w:sz w:val="32"/>
          <w:szCs w:val="32"/>
        </w:rPr>
      </w:pPr>
      <w:r>
        <w:rPr>
          <w:rFonts w:hint="eastAsia" w:ascii="仿宋" w:hAnsi="仿宋" w:eastAsia="仿宋" w:cs="仿宋"/>
          <w:sz w:val="32"/>
          <w:szCs w:val="32"/>
        </w:rPr>
        <w:t>　　③退役士兵学员修业年限可适当延长，达到毕业要求的可颁发相应学历证书，符合相关学位授予条件即可取得学位证书。</w:t>
      </w:r>
    </w:p>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 w:hAnsi="仿宋" w:eastAsia="仿宋" w:cs="仿宋"/>
          <w:sz w:val="32"/>
          <w:szCs w:val="32"/>
        </w:rPr>
      </w:pPr>
      <w:r>
        <w:rPr>
          <w:rFonts w:hint="eastAsia" w:ascii="仿宋" w:hAnsi="仿宋" w:eastAsia="仿宋" w:cs="仿宋"/>
          <w:sz w:val="32"/>
          <w:szCs w:val="32"/>
        </w:rPr>
        <w:t>　　④根据《退役士兵安置条例》规定，入伍前已被普通高等学校录取并保留入学资格或者正在普通高等学校就学的退役士兵，退出现役后2年内允许入学或者复学，并按照国家有关规定享受奖学金、助学金和减免学费等优待，家庭经济困难的，按照国家有关规定给予资助;入学后或者复学期间可以免修公共体育、军事技能和军事理论等课程，直接获得学分。</w:t>
      </w:r>
    </w:p>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 w:hAnsi="仿宋" w:eastAsia="仿宋" w:cs="仿宋"/>
          <w:sz w:val="32"/>
          <w:szCs w:val="32"/>
        </w:rPr>
      </w:pPr>
      <w:r>
        <w:rPr>
          <w:rFonts w:hint="eastAsia" w:ascii="仿宋" w:hAnsi="仿宋" w:eastAsia="仿宋" w:cs="仿宋"/>
          <w:sz w:val="32"/>
          <w:szCs w:val="32"/>
        </w:rPr>
        <w:t>　　此外，国家不断探索退役士兵教育培训新方法，包括开展“订单式”“定向式”“定岗式”培训，推进培训精细化、个性化，试行跨省异地教育培训，加强对承训单位教育培训质量考核和激励机制建设等，取得了明显成效。由于各地实际情况不同，在贯彻执行过程中会制定更详细的措施方案，详情请咨询当地退役军人事务部门和教育主管部门。</w:t>
      </w:r>
    </w:p>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 w:hAnsi="仿宋" w:eastAsia="仿宋" w:cs="仿宋"/>
          <w:sz w:val="32"/>
          <w:szCs w:val="32"/>
        </w:rPr>
      </w:pPr>
    </w:p>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 w:hAnsi="仿宋" w:eastAsia="仿宋" w:cs="仿宋"/>
          <w:color w:val="C00000"/>
          <w:sz w:val="32"/>
          <w:szCs w:val="32"/>
        </w:rPr>
      </w:pPr>
      <w:r>
        <w:rPr>
          <w:rFonts w:hint="eastAsia" w:ascii="仿宋" w:hAnsi="仿宋" w:eastAsia="仿宋" w:cs="仿宋"/>
          <w:color w:val="C00000"/>
          <w:sz w:val="32"/>
          <w:szCs w:val="32"/>
        </w:rPr>
        <w:t>链接：</w:t>
      </w:r>
    </w:p>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 w:hAnsi="仿宋" w:eastAsia="仿宋" w:cs="仿宋"/>
          <w:sz w:val="32"/>
          <w:szCs w:val="32"/>
        </w:rPr>
      </w:pPr>
      <w:r>
        <w:rPr>
          <w:rFonts w:hint="eastAsia" w:ascii="仿宋" w:hAnsi="仿宋" w:eastAsia="仿宋" w:cs="仿宋"/>
          <w:sz w:val="32"/>
          <w:szCs w:val="32"/>
        </w:rPr>
        <w:t>　　</w:t>
      </w:r>
      <w:r>
        <w:rPr>
          <w:rFonts w:hint="eastAsia" w:ascii="黑体" w:hAnsi="黑体" w:eastAsia="黑体" w:cs="黑体"/>
          <w:sz w:val="32"/>
          <w:szCs w:val="32"/>
        </w:rPr>
        <w:t>退役士兵培训政策依据主要有</w:t>
      </w:r>
    </w:p>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 w:hAnsi="仿宋" w:eastAsia="仿宋" w:cs="仿宋"/>
          <w:sz w:val="32"/>
          <w:szCs w:val="32"/>
        </w:rPr>
      </w:pPr>
      <w:r>
        <w:rPr>
          <w:rFonts w:hint="eastAsia" w:ascii="仿宋" w:hAnsi="仿宋" w:eastAsia="仿宋" w:cs="仿宋"/>
          <w:sz w:val="32"/>
          <w:szCs w:val="32"/>
        </w:rPr>
        <w:t>　　1《中华人民共和国兵役法》；</w:t>
      </w:r>
    </w:p>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 w:hAnsi="仿宋" w:eastAsia="仿宋" w:cs="仿宋"/>
          <w:sz w:val="32"/>
          <w:szCs w:val="32"/>
        </w:rPr>
      </w:pPr>
      <w:r>
        <w:rPr>
          <w:rFonts w:hint="eastAsia" w:ascii="仿宋" w:hAnsi="仿宋" w:eastAsia="仿宋" w:cs="仿宋"/>
          <w:sz w:val="32"/>
          <w:szCs w:val="32"/>
        </w:rPr>
        <w:t>　　2《退役士兵安置条例》；</w:t>
      </w:r>
    </w:p>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 w:hAnsi="仿宋" w:eastAsia="仿宋" w:cs="仿宋"/>
          <w:sz w:val="32"/>
          <w:szCs w:val="32"/>
        </w:rPr>
      </w:pPr>
      <w:r>
        <w:rPr>
          <w:rFonts w:hint="eastAsia" w:ascii="仿宋" w:hAnsi="仿宋" w:eastAsia="仿宋" w:cs="仿宋"/>
          <w:sz w:val="32"/>
          <w:szCs w:val="32"/>
        </w:rPr>
        <w:t>　　3《关于促进新时代退役军人就业创业工作的意见》；</w:t>
      </w:r>
    </w:p>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 w:hAnsi="仿宋" w:eastAsia="仿宋" w:cs="仿宋"/>
          <w:sz w:val="32"/>
          <w:szCs w:val="32"/>
        </w:rPr>
      </w:pPr>
      <w:r>
        <w:rPr>
          <w:rFonts w:hint="eastAsia" w:ascii="仿宋" w:hAnsi="仿宋" w:eastAsia="仿宋" w:cs="仿宋"/>
          <w:sz w:val="32"/>
          <w:szCs w:val="32"/>
        </w:rPr>
        <w:t>　　4《教育部等六部门关于印发〈高职扩招专项工作实施方案〉的通知》；</w:t>
      </w:r>
    </w:p>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 w:hAnsi="仿宋" w:eastAsia="仿宋" w:cs="仿宋"/>
          <w:sz w:val="32"/>
          <w:szCs w:val="32"/>
        </w:rPr>
      </w:pPr>
      <w:r>
        <w:rPr>
          <w:rFonts w:hint="eastAsia" w:ascii="仿宋" w:hAnsi="仿宋" w:eastAsia="仿宋" w:cs="仿宋"/>
          <w:sz w:val="32"/>
          <w:szCs w:val="32"/>
        </w:rPr>
        <w:t>　　5《关于全面做好退役士兵职业教育工作的通知》；</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6《关于加强军人军属、退役军人和其他优抚对象优待工作的意见》。</w:t>
      </w:r>
    </w:p>
    <w:p>
      <w:pPr>
        <w:keepNext w:val="0"/>
        <w:keepLines w:val="0"/>
        <w:pageBreakBefore w:val="0"/>
        <w:widowControl w:val="0"/>
        <w:kinsoku/>
        <w:wordWrap/>
        <w:overflowPunct/>
        <w:topLinePunct w:val="0"/>
        <w:autoSpaceDE/>
        <w:autoSpaceDN/>
        <w:bidi w:val="0"/>
        <w:adjustRightInd/>
        <w:snapToGrid/>
        <w:spacing w:line="520" w:lineRule="exact"/>
        <w:ind w:firstLine="420"/>
        <w:textAlignment w:val="auto"/>
        <w:rPr>
          <w:rFonts w:hint="eastAsia" w:ascii="仿宋" w:hAnsi="仿宋" w:eastAsia="仿宋" w:cs="仿宋"/>
          <w:sz w:val="32"/>
          <w:szCs w:val="32"/>
        </w:rPr>
      </w:pPr>
    </w:p>
    <w:p>
      <w:pPr>
        <w:keepNext w:val="0"/>
        <w:keepLines w:val="0"/>
        <w:pageBreakBefore w:val="0"/>
        <w:widowControl w:val="0"/>
        <w:kinsoku/>
        <w:wordWrap/>
        <w:overflowPunct/>
        <w:topLinePunct w:val="0"/>
        <w:autoSpaceDE/>
        <w:autoSpaceDN/>
        <w:bidi w:val="0"/>
        <w:adjustRightInd/>
        <w:snapToGrid/>
        <w:spacing w:line="520" w:lineRule="exact"/>
        <w:ind w:firstLine="420"/>
        <w:textAlignment w:val="auto"/>
        <w:rPr>
          <w:rFonts w:hint="eastAsia" w:ascii="仿宋" w:hAnsi="仿宋" w:eastAsia="仿宋" w:cs="仿宋"/>
          <w:sz w:val="32"/>
          <w:szCs w:val="32"/>
        </w:rPr>
      </w:pPr>
    </w:p>
    <w:p>
      <w:pPr>
        <w:keepNext w:val="0"/>
        <w:keepLines w:val="0"/>
        <w:pageBreakBefore w:val="0"/>
        <w:widowControl w:val="0"/>
        <w:kinsoku/>
        <w:wordWrap/>
        <w:overflowPunct/>
        <w:topLinePunct w:val="0"/>
        <w:autoSpaceDE/>
        <w:autoSpaceDN/>
        <w:bidi w:val="0"/>
        <w:adjustRightInd/>
        <w:snapToGrid/>
        <w:spacing w:line="520" w:lineRule="exact"/>
        <w:ind w:firstLine="2240" w:firstLineChars="700"/>
        <w:textAlignment w:val="auto"/>
        <w:rPr>
          <w:rFonts w:hint="eastAsia" w:ascii="仿宋" w:hAnsi="仿宋" w:eastAsia="仿宋" w:cs="仿宋"/>
          <w:sz w:val="32"/>
          <w:szCs w:val="32"/>
        </w:rPr>
      </w:pPr>
      <w:r>
        <w:rPr>
          <w:rFonts w:hint="eastAsia" w:ascii="仿宋" w:hAnsi="仿宋" w:eastAsia="仿宋" w:cs="仿宋"/>
          <w:sz w:val="32"/>
          <w:szCs w:val="32"/>
        </w:rPr>
        <w:t>来源：《中国退役军人》杂志 2020年第6期</w:t>
      </w:r>
    </w:p>
    <w:p>
      <w:pPr>
        <w:keepNext w:val="0"/>
        <w:keepLines w:val="0"/>
        <w:pageBreakBefore w:val="0"/>
        <w:widowControl w:val="0"/>
        <w:kinsoku/>
        <w:wordWrap/>
        <w:overflowPunct/>
        <w:topLinePunct w:val="0"/>
        <w:autoSpaceDE/>
        <w:autoSpaceDN/>
        <w:bidi w:val="0"/>
        <w:adjustRightInd/>
        <w:snapToGrid/>
        <w:spacing w:line="520" w:lineRule="exact"/>
        <w:ind w:firstLine="420"/>
        <w:textAlignment w:val="auto"/>
        <w:rPr>
          <w:rFonts w:hint="eastAsia" w:ascii="仿宋" w:hAnsi="仿宋" w:eastAsia="仿宋" w:cs="仿宋"/>
          <w:sz w:val="32"/>
          <w:szCs w:val="32"/>
        </w:rPr>
      </w:pPr>
    </w:p>
    <w:sectPr>
      <w:footerReference r:id="rId3" w:type="default"/>
      <w:pgSz w:w="11906" w:h="16838"/>
      <w:pgMar w:top="2007" w:right="1519" w:bottom="1440" w:left="180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D398E1CD-0716-4557-AC7C-7AB98A36351B}"/>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
    <w:panose1 w:val="02010609060101010101"/>
    <w:charset w:val="86"/>
    <w:family w:val="auto"/>
    <w:pitch w:val="default"/>
    <w:sig w:usb0="800002BF" w:usb1="38CF7CFA" w:usb2="00000016" w:usb3="00000000" w:csb0="00040001" w:csb1="00000000"/>
    <w:embedRegular r:id="rId2" w:fontKey="{04DE8420-2304-44C2-8E64-66BAF0717C23}"/>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embedRegular r:id="rId3" w:fontKey="{E96475D8-E0DD-41BE-A68A-215BF01F1CED}"/>
  </w:font>
  <w:font w:name="汉仪细等线繁">
    <w:panose1 w:val="02010600000101010101"/>
    <w:charset w:val="86"/>
    <w:family w:val="auto"/>
    <w:pitch w:val="default"/>
    <w:sig w:usb0="00000001" w:usb1="080E0800" w:usb2="00000002" w:usb3="00000000" w:csb0="00040000" w:csb1="00000000"/>
  </w:font>
  <w:font w:name="苹方 中等">
    <w:panose1 w:val="020B0400000000000000"/>
    <w:charset w:val="86"/>
    <w:family w:val="auto"/>
    <w:pitch w:val="default"/>
    <w:sig w:usb0="A00002FF" w:usb1="7ACFFCFB" w:usb2="00000016" w:usb3="00000000" w:csb0="00040001" w:csb1="00000000"/>
  </w:font>
  <w:font w:name="苹方 常规">
    <w:panose1 w:val="020B0300000000000000"/>
    <w:charset w:val="86"/>
    <w:family w:val="auto"/>
    <w:pitch w:val="default"/>
    <w:sig w:usb0="A00002FF" w:usb1="7ACFFCFB" w:usb2="00000016" w:usb3="00000000" w:csb0="00040001" w:csb1="00000000"/>
  </w:font>
  <w:font w:name="DFPOP1-W9">
    <w:panose1 w:val="02010609010101010101"/>
    <w:charset w:val="80"/>
    <w:family w:val="auto"/>
    <w:pitch w:val="default"/>
    <w:sig w:usb0="00000001" w:usb1="08070000" w:usb2="00000010" w:usb3="00000000" w:csb0="00020000" w:csb1="00000000"/>
  </w:font>
  <w:font w:name="苹方 特粗">
    <w:panose1 w:val="020B0800000000000000"/>
    <w:charset w:val="86"/>
    <w:family w:val="auto"/>
    <w:pitch w:val="default"/>
    <w:sig w:usb0="A00002FF" w:usb1="7ACFFCFB" w:usb2="00000016" w:usb3="00000000" w:csb0="00040001" w:csb1="00000000"/>
  </w:font>
  <w:font w:name="方正小标宋简体">
    <w:panose1 w:val="02000000000000000000"/>
    <w:charset w:val="86"/>
    <w:family w:val="auto"/>
    <w:pitch w:val="default"/>
    <w:sig w:usb0="00000001" w:usb1="08000000" w:usb2="00000000" w:usb3="00000000" w:csb0="00040000" w:csb1="00000000"/>
  </w:font>
  <w:font w:name="方正小标宋_GBK">
    <w:panose1 w:val="02000000000000000000"/>
    <w:charset w:val="86"/>
    <w:family w:val="auto"/>
    <w:pitch w:val="default"/>
    <w:sig w:usb0="A00002BF" w:usb1="38CF7CFA" w:usb2="00082016" w:usb3="00000000" w:csb0="00040001" w:csb1="00000000"/>
    <w:embedRegular r:id="rId4" w:fontKey="{CFEDF84A-D213-48AE-921C-705FB4662689}"/>
  </w:font>
  <w:font w:name="书体坊郭沫若字体">
    <w:panose1 w:val="03000509000000000000"/>
    <w:charset w:val="86"/>
    <w:family w:val="auto"/>
    <w:pitch w:val="default"/>
    <w:sig w:usb0="00000001" w:usb1="080E0000" w:usb2="00000000" w:usb3="00000000" w:csb0="003C0041" w:csb1="A0080000"/>
  </w:font>
  <w:font w:name="方正猫了个咪体">
    <w:panose1 w:val="02010600010101010101"/>
    <w:charset w:val="86"/>
    <w:family w:val="auto"/>
    <w:pitch w:val="default"/>
    <w:sig w:usb0="A00002BF" w:usb1="184F6CFA" w:usb2="00000012" w:usb3="00000000" w:csb0="00040001" w:csb1="00000000"/>
  </w:font>
  <w:font w:name="造字工房言宋（非商用）常规体">
    <w:panose1 w:val="00000000000000000000"/>
    <w:charset w:val="86"/>
    <w:family w:val="auto"/>
    <w:pitch w:val="default"/>
    <w:sig w:usb0="00000001" w:usb1="08010000" w:usb2="00000000" w:usb3="00000000" w:csb0="00040001" w:csb1="00000000"/>
  </w:font>
  <w:font w:name="TypeLand 康熙字典體">
    <w:panose1 w:val="00000000000000000000"/>
    <w:charset w:val="88"/>
    <w:family w:val="auto"/>
    <w:pitch w:val="default"/>
    <w:sig w:usb0="80000001" w:usb1="38010000" w:usb2="00000012"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Style w:val="2"/>
                            <w:rPr>
                              <w:rFonts w:hint="eastAsia" w:eastAsiaTheme="minorEastAsia"/>
                              <w:lang w:eastAsia="zh-CN"/>
                            </w:rPr>
                          </w:pPr>
                          <w:r>
                            <w:rPr>
                              <w:rFonts w:hint="eastAsia"/>
                              <w:sz w:val="30"/>
                              <w:szCs w:val="30"/>
                              <w:lang w:eastAsia="zh-CN"/>
                            </w:rPr>
                            <w:fldChar w:fldCharType="begin"/>
                          </w:r>
                          <w:r>
                            <w:rPr>
                              <w:rFonts w:hint="eastAsia"/>
                              <w:sz w:val="30"/>
                              <w:szCs w:val="30"/>
                              <w:lang w:eastAsia="zh-CN"/>
                            </w:rPr>
                            <w:instrText xml:space="preserve"> PAGE  \* MERGEFORMAT </w:instrText>
                          </w:r>
                          <w:r>
                            <w:rPr>
                              <w:rFonts w:hint="eastAsia"/>
                              <w:sz w:val="30"/>
                              <w:szCs w:val="30"/>
                              <w:lang w:eastAsia="zh-CN"/>
                            </w:rPr>
                            <w:fldChar w:fldCharType="separate"/>
                          </w:r>
                          <w:r>
                            <w:rPr>
                              <w:rFonts w:hint="eastAsia"/>
                              <w:sz w:val="30"/>
                              <w:szCs w:val="30"/>
                              <w:lang w:eastAsia="zh-CN"/>
                            </w:rPr>
                            <w:t>1</w:t>
                          </w:r>
                          <w:r>
                            <w:rPr>
                              <w:rFonts w:hint="eastAsia"/>
                              <w:sz w:val="30"/>
                              <w:szCs w:val="30"/>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zpqPCAgAA1gUAAA4AAABkcnMvZTJvRG9jLnhtbK1UzW7UMBC+I/EO&#10;lu9pkm26zUbNVttNg5AqWqkgzl7H2UQ4tmV7fwriCm/AiQt3nqvPwdjZ7LYFIQTk4Iw945n5vhnP&#10;2fm242jNtGmlyHF8FGHEBJVVK5Y5fvO6DFKMjCWiIlwKluM7ZvD59Pmzs43K2Eg2kldMI3AiTLZR&#10;OW6sVVkYGtqwjpgjqZgAZS11Ryxs9TKsNNmA946HoygahxupK6UlZcbAadEr8dT7r2tG7XVdG2YR&#10;zzHkZv2q/bpwazg9I9lSE9W0dJcG+YssOtIKCLp3VRBL0Eq3P7nqWqqlkbU9orILZV23lHkMgCaO&#10;nqC5bYhiHguQY9SeJvP/3NJX6xuN2gpqh5EgHZTo/svn+6/f7799QrGjZ6NMBla3Cuzs9kJunenu&#10;3MChQ72tdef+gAeBHoi+25PLthZRdykdpWkEKgq6YQN+wsN1pY19wWSHnJBjDdXzpJL1lbG96WDi&#10;oglZtpzDOcm4QJscj49PIn9hrwHnXDgDyAJ87KS+Mh8m0eQyvUyTIBmNL4MkKopgVs6TYFzGpyfF&#10;cTGfF/FH5y9OsqatKiZcvKFL4uTPqrDr176++z4xkreVc+dSMnq5mHON1gS6tPSfYxiSf2AWPk7D&#10;qwHVE0jxKIkuRpOgHKenQVImJ8HkNEqDKJ5cTMZRMkmK8jGkq1awf4f0iP0HSZPMFWyPbcEJffdb&#10;aC6dAzRgYChc6Pqw7zcn2e1iCxQ5cSGrO+hNLfvHbRQtWwh6RYy9IRpeM/QcTCh7DUvNJfSJ3EkY&#10;NVK//9W5s4fyghajDUyHHAsYXxjxlwIenxskg6AHYTEIYtXNJRQSHhTk4kW4oC0fxFrL7i2MrZmL&#10;ASoiKETKsR3Eue0nFIw9ymYzb7RSul02/QUYHYrYK3GrqAvjW0jNVhbeg38mB1aASreB4eFJ3Q06&#10;N50e7r3VYRxPfwB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ArBQAAW0NvbnRlbnRfVHlwZXNdLnhtbFBLAQIUAAoAAAAAAIdO4kAAAAAAAAAAAAAA&#10;AAAGAAAAAAAAAAAAEAAAAA0EAABfcmVscy9QSwECFAAUAAAACACHTuJAihRmPNEAAACUAQAACwAA&#10;AAAAAAABACAAAAAxBAAAX3JlbHMvLnJlbHNQSwECFAAKAAAAAACHTuJAAAAAAAAAAAAAAAAABAAA&#10;AAAAAAAAABAAAAAAAAAAZHJzL1BLAQIUABQAAAAIAIdO4kCzSVju0AAAAAUBAAAPAAAAAAAAAAEA&#10;IAAAACIAAABkcnMvZG93bnJldi54bWxQSwECFAAUAAAACACHTuJA5LOmo8ICAADWBQAADgAAAAAA&#10;AAABACAAAAAfAQAAZHJzL2Uyb0RvYy54bWxQSwUGAAAAAAYABgBZAQAAUwYAAAAA&#10;">
              <v:fill on="f" focussize="0,0"/>
              <v:stroke on="f" weight="0.5pt"/>
              <v:imagedata o:title=""/>
              <o:lock v:ext="edit" aspectratio="f"/>
              <v:textbox inset="0mm,0mm,0mm,0mm" style="mso-fit-shape-to-text:t;">
                <w:txbxContent>
                  <w:p>
                    <w:pPr>
                      <w:pStyle w:val="2"/>
                      <w:rPr>
                        <w:rFonts w:hint="eastAsia" w:eastAsiaTheme="minorEastAsia"/>
                        <w:lang w:eastAsia="zh-CN"/>
                      </w:rPr>
                    </w:pPr>
                    <w:r>
                      <w:rPr>
                        <w:rFonts w:hint="eastAsia"/>
                        <w:sz w:val="30"/>
                        <w:szCs w:val="30"/>
                        <w:lang w:eastAsia="zh-CN"/>
                      </w:rPr>
                      <w:fldChar w:fldCharType="begin"/>
                    </w:r>
                    <w:r>
                      <w:rPr>
                        <w:rFonts w:hint="eastAsia"/>
                        <w:sz w:val="30"/>
                        <w:szCs w:val="30"/>
                        <w:lang w:eastAsia="zh-CN"/>
                      </w:rPr>
                      <w:instrText xml:space="preserve"> PAGE  \* MERGEFORMAT </w:instrText>
                    </w:r>
                    <w:r>
                      <w:rPr>
                        <w:rFonts w:hint="eastAsia"/>
                        <w:sz w:val="30"/>
                        <w:szCs w:val="30"/>
                        <w:lang w:eastAsia="zh-CN"/>
                      </w:rPr>
                      <w:fldChar w:fldCharType="separate"/>
                    </w:r>
                    <w:r>
                      <w:rPr>
                        <w:rFonts w:hint="eastAsia"/>
                        <w:sz w:val="30"/>
                        <w:szCs w:val="30"/>
                        <w:lang w:eastAsia="zh-CN"/>
                      </w:rPr>
                      <w:t>1</w:t>
                    </w:r>
                    <w:r>
                      <w:rPr>
                        <w:rFonts w:hint="eastAsia"/>
                        <w:sz w:val="30"/>
                        <w:szCs w:val="30"/>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1240DEF"/>
    <w:rsid w:val="71240DE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20</TotalTime>
  <ScaleCrop>false</ScaleCrop>
  <LinksUpToDate>false</LinksUpToDate>
  <CharactersWithSpaces>0</CharactersWithSpaces>
  <Application>WPS Office_11.1.0.9739_F1E327BC-269C-435d-A152-05C5408002CA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2020-07-06T12:57:00Z</dcterms:created>
  <dc:creator>海云湾</dc:creator>
  <cp:lastModifiedBy>海云湾</cp:lastModifiedBy>
  <dcterms:modified xsi:type="dcterms:W3CDTF">2020-07-06T13:18:08Z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2052-11.1.0.9739</vt:lpwstr>
  </property>
</Properties>
</file>