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val="0"/>
          <w:color w:val="000000"/>
          <w:kern w:val="0"/>
          <w:sz w:val="44"/>
          <w:szCs w:val="44"/>
          <w:lang w:val="en-US" w:eastAsia="zh-CN" w:bidi="ar"/>
        </w:rPr>
      </w:pPr>
      <w:r>
        <w:rPr>
          <w:rFonts w:hint="eastAsia" w:ascii="方正小标宋_GBK" w:hAnsi="方正小标宋_GBK" w:eastAsia="方正小标宋_GBK" w:cs="方正小标宋_GBK"/>
          <w:b w:val="0"/>
          <w:bCs w:val="0"/>
          <w:color w:val="000000"/>
          <w:kern w:val="0"/>
          <w:sz w:val="44"/>
          <w:szCs w:val="44"/>
          <w:lang w:val="en-US" w:eastAsia="zh-CN" w:bidi="ar"/>
        </w:rPr>
        <w:t>灌云县综合行政执法局</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color w:val="000000"/>
          <w:kern w:val="0"/>
          <w:sz w:val="44"/>
          <w:szCs w:val="44"/>
          <w:lang w:val="en-US" w:eastAsia="zh-CN" w:bidi="ar"/>
        </w:rPr>
        <w:t>行政处罚裁量基准编制和适用规则</w:t>
      </w: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第一条</w:t>
      </w:r>
      <w:r>
        <w:rPr>
          <w:rFonts w:hint="default" w:ascii="仿宋_GB2312" w:hAnsi="仿宋_GB2312" w:eastAsia="仿宋_GB2312" w:cs="仿宋_GB2312"/>
          <w:sz w:val="32"/>
          <w:szCs w:val="32"/>
          <w:lang w:val="en-US" w:eastAsia="zh-CN"/>
        </w:rPr>
        <w:t xml:space="preserve"> 为进一步规范城市管理行政执法行为，公平、公正、合理地实施行政处罚自由裁量，保障行政处罚相对人的合法权益，有效控制和减少行政处罚随意性，依据《中华人民共和国行政处罚法》《优化营商环境条例》等法律行政法规及《</w:t>
      </w:r>
      <w:r>
        <w:rPr>
          <w:rFonts w:hint="eastAsia" w:ascii="仿宋_GB2312" w:hAnsi="仿宋_GB2312" w:eastAsia="仿宋_GB2312" w:cs="仿宋_GB2312"/>
          <w:sz w:val="32"/>
          <w:szCs w:val="32"/>
          <w:lang w:val="en-US" w:eastAsia="zh-CN"/>
        </w:rPr>
        <w:t>连云港市城市管理综合行政执法局</w:t>
      </w:r>
      <w:r>
        <w:rPr>
          <w:rFonts w:hint="default" w:ascii="仿宋_GB2312" w:hAnsi="仿宋_GB2312" w:eastAsia="仿宋_GB2312" w:cs="仿宋_GB2312"/>
          <w:sz w:val="32"/>
          <w:szCs w:val="32"/>
          <w:lang w:val="en-US" w:eastAsia="zh-CN"/>
        </w:rPr>
        <w:t>行政处罚裁量基准编制和适用规则</w:t>
      </w:r>
      <w:r>
        <w:rPr>
          <w:rFonts w:hint="eastAsia" w:ascii="仿宋_GB2312" w:hAnsi="仿宋_GB2312" w:eastAsia="仿宋_GB2312" w:cs="仿宋_GB2312"/>
          <w:sz w:val="32"/>
          <w:szCs w:val="32"/>
          <w:lang w:val="en-US" w:eastAsia="zh-CN"/>
        </w:rPr>
        <w:t>（2022版）</w:t>
      </w:r>
      <w:r>
        <w:rPr>
          <w:rFonts w:hint="default" w:ascii="仿宋_GB2312" w:hAnsi="仿宋_GB2312" w:eastAsia="仿宋_GB2312" w:cs="仿宋_GB2312"/>
          <w:sz w:val="32"/>
          <w:szCs w:val="32"/>
          <w:lang w:val="en-US" w:eastAsia="zh-CN"/>
        </w:rPr>
        <w:t>》，结合我局工作实际，制定本规则。</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第二条 </w:t>
      </w:r>
      <w:r>
        <w:rPr>
          <w:rFonts w:hint="default" w:ascii="仿宋_GB2312" w:hAnsi="仿宋_GB2312" w:eastAsia="仿宋_GB2312" w:cs="仿宋_GB2312"/>
          <w:sz w:val="32"/>
          <w:szCs w:val="32"/>
          <w:lang w:val="en-US" w:eastAsia="zh-CN"/>
        </w:rPr>
        <w:t>本规则所称行政处罚裁量基准，是指在法律、法规和规章(以下统称“法律规范”) 规定的处罚种类和幅度范围内，根据违法行为的事实、性质、情节以及社会危害程度，确定是否给予行政处罚以及行政处罚的种类和幅度的不同等次时应当遵守的基本标准。</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灌云县</w:t>
      </w:r>
      <w:r>
        <w:rPr>
          <w:rFonts w:hint="default" w:ascii="仿宋_GB2312" w:hAnsi="仿宋_GB2312" w:eastAsia="仿宋_GB2312" w:cs="仿宋_GB2312"/>
          <w:sz w:val="32"/>
          <w:szCs w:val="32"/>
          <w:lang w:val="en-US" w:eastAsia="zh-CN"/>
        </w:rPr>
        <w:t>综合行政执法局行政处罚裁量基准表》(以下简称《裁量基准》)，以我局权力事项清单中行政处罚事项为基础，参照《</w:t>
      </w:r>
      <w:r>
        <w:rPr>
          <w:rFonts w:hint="eastAsia" w:ascii="仿宋_GB2312" w:hAnsi="仿宋_GB2312" w:eastAsia="仿宋_GB2312" w:cs="仿宋_GB2312"/>
          <w:sz w:val="32"/>
          <w:szCs w:val="32"/>
          <w:lang w:val="en-US" w:eastAsia="zh-CN"/>
        </w:rPr>
        <w:t>连云港市城市管理综合行政执法局</w:t>
      </w:r>
      <w:r>
        <w:rPr>
          <w:rFonts w:hint="default" w:ascii="仿宋_GB2312" w:hAnsi="仿宋_GB2312" w:eastAsia="仿宋_GB2312" w:cs="仿宋_GB2312"/>
          <w:sz w:val="32"/>
          <w:szCs w:val="32"/>
          <w:lang w:val="en-US" w:eastAsia="zh-CN"/>
        </w:rPr>
        <w:t>行政处罚裁量基准</w:t>
      </w:r>
      <w:r>
        <w:rPr>
          <w:rFonts w:hint="eastAsia" w:ascii="仿宋_GB2312" w:hAnsi="仿宋_GB2312" w:eastAsia="仿宋_GB2312" w:cs="仿宋_GB2312"/>
          <w:sz w:val="32"/>
          <w:szCs w:val="32"/>
          <w:lang w:val="en-US" w:eastAsia="zh-CN"/>
        </w:rPr>
        <w:t>（2022版）</w:t>
      </w:r>
      <w:r>
        <w:rPr>
          <w:rFonts w:hint="default" w:ascii="仿宋_GB2312" w:hAnsi="仿宋_GB2312" w:eastAsia="仿宋_GB2312" w:cs="仿宋_GB2312"/>
          <w:sz w:val="32"/>
          <w:szCs w:val="32"/>
          <w:lang w:val="en-US" w:eastAsia="zh-CN"/>
        </w:rPr>
        <w:t>》组织编制，并实施动态调整。</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《裁量基准》 的编制遵循以下原则:</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依法编制，忠实于法规条文，符合立法目的和原则;</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不同层级效力的法律规范，优先适用层级高的法律规范;</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不同时间颁布实施的同一位阶的法律规范，适用后颁布实施的法律规范;</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合理分档，</w:t>
      </w:r>
      <w:r>
        <w:rPr>
          <w:rFonts w:hint="eastAsia" w:ascii="仿宋_GB2312" w:hAnsi="仿宋_GB2312" w:eastAsia="仿宋_GB2312" w:cs="仿宋_GB2312"/>
          <w:sz w:val="32"/>
          <w:szCs w:val="32"/>
          <w:lang w:val="en-US" w:eastAsia="zh-CN"/>
        </w:rPr>
        <w:t>裁量</w:t>
      </w:r>
      <w:r>
        <w:rPr>
          <w:rFonts w:hint="default" w:ascii="仿宋_GB2312" w:hAnsi="仿宋_GB2312" w:eastAsia="仿宋_GB2312" w:cs="仿宋_GB2312"/>
          <w:sz w:val="32"/>
          <w:szCs w:val="32"/>
          <w:lang w:val="en-US" w:eastAsia="zh-CN"/>
        </w:rPr>
        <w:t>幅度与情形描述相对应，等次划分合理适当;</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简明适用，方便调查取证;</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公开发布，动态调整。</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对违法行为的事实、性质、情节以及社会危害程度的情形描述，主要考虑以下因素:</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是否按照要求改正;</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是否采取补救措施;</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有无违法收入或者违法所得，违法收入或者违法所得的数额大小</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持续时间;</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影响程度及产生的后果。</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第六条 </w:t>
      </w:r>
      <w:r>
        <w:rPr>
          <w:rFonts w:hint="default" w:ascii="仿宋_GB2312" w:hAnsi="仿宋_GB2312" w:eastAsia="仿宋_GB2312" w:cs="仿宋_GB2312"/>
          <w:sz w:val="32"/>
          <w:szCs w:val="32"/>
          <w:lang w:val="en-US" w:eastAsia="zh-CN"/>
        </w:rPr>
        <w:t>《裁量基准》的适用遵循以下原则:</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过罚相当。以事实为依据，以法律为准绳，所适用的裁量幅度应当与违法行为的情形相当</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公平公正。情节基本相同或者相近的违法行为，应当适用相同或者相近的裁量福度</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程序正当。遵循法定程序，充分听取当事人的意见，依法保障当事人的知情权、救济权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综合裁量</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对违法行为的主观、客观原因和具体情节进行全面分析，综合判断需要适用的裁量幅度</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处罚与教育相结合。既要实施行政处罚，纠正违法行为，又要教育当事人自觉守法</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有利于当事人。可以适用的同一位阶法律规范存在冲突时，除法律规范有特别规定的以外，按照有利于当事人的原则适用法律规范。</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同一违法行为不得给予两次以上罚款的行政处罚。同一个违法行为违反多个法律规范应当给予罚款处罚的，按照罚款数额高的规定处罚。</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第八条 </w:t>
      </w:r>
      <w:r>
        <w:rPr>
          <w:rFonts w:hint="default" w:ascii="仿宋_GB2312" w:hAnsi="仿宋_GB2312" w:eastAsia="仿宋_GB2312" w:cs="仿宋_GB2312"/>
          <w:sz w:val="32"/>
          <w:szCs w:val="32"/>
          <w:lang w:val="en-US" w:eastAsia="zh-CN"/>
        </w:rPr>
        <w:t>当事人有下列情形之一的，不予行政处罚:</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不满十四周岁的未成年人有违法行为的;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精神病人、智力残疾人在不能辨认或者不能控制自己行为时有违法行为的;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违法行为轻微并及时纠正，没有造成危害后果的</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当事人有证据足以证明没有主观过错的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违法行为在二年内未被发现的，涉及公民生命健康安全、金融安全且有危害后果的，上述期限延长至五年</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违法事实不清的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其他依法应当不</w:t>
      </w:r>
      <w:r>
        <w:rPr>
          <w:rFonts w:hint="eastAsia" w:ascii="仿宋_GB2312" w:hAnsi="仿宋_GB2312" w:eastAsia="仿宋_GB2312" w:cs="仿宋_GB2312"/>
          <w:sz w:val="32"/>
          <w:szCs w:val="32"/>
          <w:lang w:val="en-US" w:eastAsia="zh-CN"/>
        </w:rPr>
        <w:t>予</w:t>
      </w:r>
      <w:r>
        <w:rPr>
          <w:rFonts w:hint="default" w:ascii="仿宋_GB2312" w:hAnsi="仿宋_GB2312" w:eastAsia="仿宋_GB2312" w:cs="仿宋_GB2312"/>
          <w:sz w:val="32"/>
          <w:szCs w:val="32"/>
          <w:lang w:val="en-US" w:eastAsia="zh-CN"/>
        </w:rPr>
        <w:t>行政处罚的。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初次违法且危害后果轻微并及时改正的，可以不</w:t>
      </w:r>
      <w:r>
        <w:rPr>
          <w:rFonts w:hint="eastAsia" w:ascii="仿宋_GB2312" w:hAnsi="仿宋_GB2312" w:eastAsia="仿宋_GB2312" w:cs="仿宋_GB2312"/>
          <w:sz w:val="32"/>
          <w:szCs w:val="32"/>
          <w:lang w:val="en-US" w:eastAsia="zh-CN"/>
        </w:rPr>
        <w:t>予</w:t>
      </w:r>
      <w:r>
        <w:rPr>
          <w:rFonts w:hint="default" w:ascii="仿宋_GB2312" w:hAnsi="仿宋_GB2312" w:eastAsia="仿宋_GB2312" w:cs="仿宋_GB2312"/>
          <w:sz w:val="32"/>
          <w:szCs w:val="32"/>
          <w:lang w:val="en-US" w:eastAsia="zh-CN"/>
        </w:rPr>
        <w:t>行政处罚。</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val="en-US" w:eastAsia="zh-CN"/>
        </w:rPr>
        <w:t>予</w:t>
      </w:r>
      <w:r>
        <w:rPr>
          <w:rFonts w:hint="default" w:ascii="仿宋_GB2312" w:hAnsi="仿宋_GB2312" w:eastAsia="仿宋_GB2312" w:cs="仿宋_GB2312"/>
          <w:sz w:val="32"/>
          <w:szCs w:val="32"/>
          <w:lang w:val="en-US" w:eastAsia="zh-CN"/>
        </w:rPr>
        <w:t>行政处罚的，应当对当事人进行教育，对精神病人，智力残疾人不</w:t>
      </w:r>
      <w:r>
        <w:rPr>
          <w:rFonts w:hint="eastAsia" w:ascii="仿宋_GB2312" w:hAnsi="仿宋_GB2312" w:eastAsia="仿宋_GB2312" w:cs="仿宋_GB2312"/>
          <w:sz w:val="32"/>
          <w:szCs w:val="32"/>
          <w:lang w:val="en-US" w:eastAsia="zh-CN"/>
        </w:rPr>
        <w:t>予</w:t>
      </w:r>
      <w:r>
        <w:rPr>
          <w:rFonts w:hint="default" w:ascii="仿宋_GB2312" w:hAnsi="仿宋_GB2312" w:eastAsia="仿宋_GB2312" w:cs="仿宋_GB2312"/>
          <w:sz w:val="32"/>
          <w:szCs w:val="32"/>
          <w:lang w:val="en-US" w:eastAsia="zh-CN"/>
        </w:rPr>
        <w:t>行政处罚的，应当责令其监护人严加看管和治疗。</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当事人有下列情形之一的，应当依法从轻或者减轻处罚:</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已满十四周岁不满十八周岁的未成年人有违法行为的;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 xml:space="preserve">尚未完全丧失辨认或者控制自己行为能力的精神病人、智力残疾人有违法行为的，情节严重的除外; </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主动消除或者减轻违法行为危害后果的;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受他人胁迫或者诱骗实施违法行为的;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主动供述行政机关尚未掌握的违法行为的;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配合执法机关查处违法行为有立功表现的;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其他依法应当从轻或者减轻行政处罚的。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有从轻处罚情节的，应当选择较轻的处罚种类或者在法定处罚幅度内选择较低限额确定处罚标准，但不得低于处罚幅度所设定的最低处罚标准。</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有减轻处罚情节的，低于法定处罚幅度处罚的，最低不得低于法定处罚幅度最低处罚标准的20%;没有处罚幅度的，最低不得低于法定处罚标准的20%。</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当事人有下列情形之一的，应当从重处罚:</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危及公共安全、社会安定、生命财产安全、生态环境安全以及直接关系人身健康的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造成群体性事件的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经提醒、</w:t>
      </w:r>
      <w:r>
        <w:rPr>
          <w:rFonts w:hint="eastAsia" w:ascii="仿宋_GB2312" w:hAnsi="仿宋_GB2312" w:eastAsia="仿宋_GB2312" w:cs="仿宋_GB2312"/>
          <w:sz w:val="32"/>
          <w:szCs w:val="32"/>
          <w:lang w:val="en-US" w:eastAsia="zh-CN"/>
        </w:rPr>
        <w:t>告诫</w:t>
      </w:r>
      <w:r>
        <w:rPr>
          <w:rFonts w:hint="default" w:ascii="仿宋_GB2312" w:hAnsi="仿宋_GB2312" w:eastAsia="仿宋_GB2312" w:cs="仿宋_GB2312"/>
          <w:sz w:val="32"/>
          <w:szCs w:val="32"/>
          <w:lang w:val="en-US" w:eastAsia="zh-CN"/>
        </w:rPr>
        <w:t>、约谈，劝阻等仍继续实施违法行为的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 xml:space="preserve">屡次实施同一类型违法行为或者拒不改正违法行为的; </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 xml:space="preserve">妨碍、阻挠、逃避或者抗拒执法的; </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隐瞒事实，伪造、藏匿、销毁有关证据的;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胁迫、教唆他人实施违法行为的;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default" w:ascii="仿宋_GB2312" w:hAnsi="仿宋_GB2312" w:eastAsia="仿宋_GB2312" w:cs="仿宋_GB2312"/>
          <w:sz w:val="32"/>
          <w:szCs w:val="32"/>
          <w:lang w:val="en-US" w:eastAsia="zh-CN"/>
        </w:rPr>
        <w:t>对检举人、证人实施打击报复的;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val="en-US" w:eastAsia="zh-CN"/>
        </w:rPr>
        <w:t>在发生重大传染病疫情等突发公共事件时实施违法行为的;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w:t>
      </w:r>
      <w:r>
        <w:rPr>
          <w:rFonts w:hint="default" w:ascii="仿宋_GB2312" w:hAnsi="仿宋_GB2312" w:eastAsia="仿宋_GB2312" w:cs="仿宋_GB2312"/>
          <w:sz w:val="32"/>
          <w:szCs w:val="32"/>
          <w:lang w:val="en-US" w:eastAsia="zh-CN"/>
        </w:rPr>
        <w:t>其他应当从重行政处罚的情形。</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有从重处罚情节的，应当在法定处罚幅度内选择较高限额确定处罚标准，但不得高于处罚幅度所设定的最高处罚标准。</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当事人有下列情形之一的，可以认定为拒不改正:</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拒绝、阻挠执法人员现场调查取证的;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拒不签收执法文书的;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当场拒绝改正违法行为的;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30日内再次发现有相同违法行为的;</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可以认定拒不改正的其他情形。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当事人有下列情形之一，可以认定为逾期不改正:</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拒绝、阻扰执法人员实施复查的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执法人员复查发现仍有相同违法行为的</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可以认定逾期不改正的其他情形。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实施行政处罚，应当同时</w:t>
      </w:r>
      <w:r>
        <w:rPr>
          <w:rFonts w:hint="eastAsia" w:ascii="仿宋_GB2312" w:hAnsi="仿宋_GB2312" w:eastAsia="仿宋_GB2312" w:cs="仿宋_GB2312"/>
          <w:sz w:val="32"/>
          <w:szCs w:val="32"/>
          <w:lang w:val="en-US" w:eastAsia="zh-CN"/>
        </w:rPr>
        <w:t>责</w:t>
      </w:r>
      <w:r>
        <w:rPr>
          <w:rFonts w:hint="default" w:ascii="仿宋_GB2312" w:hAnsi="仿宋_GB2312" w:eastAsia="仿宋_GB2312" w:cs="仿宋_GB2312"/>
          <w:sz w:val="32"/>
          <w:szCs w:val="32"/>
          <w:lang w:val="en-US" w:eastAsia="zh-CN"/>
        </w:rPr>
        <w:t>令当事人限期改正违法行为。除法律规范另有规定外，改正期限根据改正的难易程度及所需合理时间确定，-般分为当场、3日、5日、10日、15日，除特殊情况外，最长一般不超过30日。</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违法行为确实无法改正的，适用未按照要求改正的情形。</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执法部门及其工作人员在实施行政处罚裁量时，应当充分听取当事人的陈述、申辩。对当事人的申辩意见是否采纳，给予从轻、减轻、从重、不予处罚的事实和理由，应当在行政处罚决定中</w:t>
      </w:r>
      <w:r>
        <w:rPr>
          <w:rFonts w:hint="eastAsia" w:ascii="仿宋_GB2312" w:hAnsi="仿宋_GB2312" w:eastAsia="仿宋_GB2312" w:cs="仿宋_GB2312"/>
          <w:sz w:val="32"/>
          <w:szCs w:val="32"/>
          <w:lang w:val="en-US" w:eastAsia="zh-CN"/>
        </w:rPr>
        <w:t>予</w:t>
      </w:r>
      <w:r>
        <w:rPr>
          <w:rFonts w:hint="default" w:ascii="仿宋_GB2312" w:hAnsi="仿宋_GB2312" w:eastAsia="仿宋_GB2312" w:cs="仿宋_GB2312"/>
          <w:sz w:val="32"/>
          <w:szCs w:val="32"/>
          <w:lang w:val="en-US" w:eastAsia="zh-CN"/>
        </w:rPr>
        <w:t>以说明。</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行政处罚决定作出前，应当由案件审核部门依据法律规范、《裁量基准》和本规则进行合法性审查。</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本规则关于“日”的规定是指自然日。</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本规则由</w:t>
      </w:r>
      <w:r>
        <w:rPr>
          <w:rFonts w:hint="eastAsia" w:ascii="仿宋_GB2312" w:hAnsi="仿宋_GB2312" w:eastAsia="仿宋_GB2312" w:cs="仿宋_GB2312"/>
          <w:sz w:val="32"/>
          <w:szCs w:val="32"/>
          <w:lang w:val="en-US" w:eastAsia="zh-CN"/>
        </w:rPr>
        <w:t>灌云县</w:t>
      </w:r>
      <w:r>
        <w:rPr>
          <w:rFonts w:hint="default" w:ascii="仿宋_GB2312" w:hAnsi="仿宋_GB2312" w:eastAsia="仿宋_GB2312" w:cs="仿宋_GB2312"/>
          <w:sz w:val="32"/>
          <w:szCs w:val="32"/>
          <w:lang w:val="en-US" w:eastAsia="zh-CN"/>
        </w:rPr>
        <w:t>综合行政执法局负责解释。</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本规则和《裁量基准》 自2022年</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日起施行。</w:t>
      </w:r>
    </w:p>
    <w:p>
      <w:pPr>
        <w:jc w:val="left"/>
        <w:rPr>
          <w:rFonts w:hint="default" w:ascii="仿宋_GB2312" w:hAnsi="仿宋_GB2312" w:eastAsia="仿宋_GB2312" w:cs="仿宋_GB2312"/>
          <w:color w:val="auto"/>
          <w:sz w:val="32"/>
          <w:szCs w:val="32"/>
          <w:lang w:val="en-US" w:eastAsia="zh-CN"/>
        </w:rPr>
      </w:pPr>
    </w:p>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  \* MERGEFORMAT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  \* MERGEFORMAT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xYjg1YWFhMDM0NTUyYzA0Njg4NTZiMDk4ZDRmY2IifQ=="/>
  </w:docVars>
  <w:rsids>
    <w:rsidRoot w:val="00000000"/>
    <w:rsid w:val="7A704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2022-10-13T09:47:46Z</dcterms:created>
  <dc:creator>Administrator</dc:creator>
  <cp:lastModifiedBy>pariri</cp:lastModifiedBy>
  <dcterms:modified xsi:type="dcterms:W3CDTF">2022-10-13T09:47:55Z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73F870D22A37427089F0A4025B27469B</vt:lpwstr>
  </property>
</Properties>
</file>