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jc w:val="center"/>
        <w:textAlignment w:val="auto"/>
        <w:rPr>
          <w:rFonts w:hint="eastAsia" w:ascii="Times New Roman" w:hAnsi="Times New Roman" w:eastAsia="仿宋_GB2312" w:cs="Times New Roman"/>
          <w:b/>
          <w:spacing w:val="-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pacing w:val="-2"/>
          <w:sz w:val="44"/>
          <w:szCs w:val="44"/>
          <w:lang w:val="en-US" w:eastAsia="zh-CN"/>
        </w:rPr>
        <w:t>怀化市民政局2022年度部门整体支出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875" w:firstLineChars="200"/>
        <w:jc w:val="center"/>
        <w:textAlignment w:val="auto"/>
        <w:rPr>
          <w:rFonts w:hint="eastAsia" w:ascii="Times New Roman" w:hAnsi="Times New Roman" w:eastAsia="仿宋_GB2312" w:cs="Times New Roman"/>
          <w:b/>
          <w:spacing w:val="-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pacing w:val="-2"/>
          <w:sz w:val="44"/>
          <w:szCs w:val="44"/>
          <w:lang w:val="en-US" w:eastAsia="zh-CN"/>
        </w:rPr>
        <w:t>绩效评价报告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875" w:firstLineChars="200"/>
        <w:jc w:val="center"/>
        <w:textAlignment w:val="auto"/>
        <w:rPr>
          <w:rFonts w:hint="eastAsia" w:ascii="Times New Roman" w:hAnsi="Times New Roman" w:eastAsia="仿宋_GB2312" w:cs="Times New Roman"/>
          <w:b/>
          <w:spacing w:val="-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rFonts w:ascii="楷体" w:hAnsi="楷体" w:eastAsia="楷体"/>
          <w:b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根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据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怀化市财政局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印发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《怀化市财政局关于开展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2022年</w:t>
      </w:r>
      <w:bookmarkStart w:id="16" w:name="_GoBack"/>
      <w:bookmarkEnd w:id="16"/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度部门整体支出 专项资金绩效自评工作的通知》的文件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要求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，怀化市民政局开展20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年度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部门整体支出、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专项资金绩效自评，现将绩效评价情况及评价结果报告如下：</w:t>
      </w:r>
    </w:p>
    <w:p>
      <w:pPr>
        <w:widowControl/>
        <w:shd w:val="clear" w:color="auto" w:fill="FFFFFF"/>
        <w:spacing w:line="600" w:lineRule="atLeast"/>
        <w:ind w:firstLine="640"/>
        <w:rPr>
          <w:rFonts w:ascii="楷体" w:hAnsi="楷体" w:eastAsia="楷体"/>
          <w:b/>
          <w:spacing w:val="-2"/>
          <w:sz w:val="32"/>
          <w:szCs w:val="21"/>
        </w:rPr>
      </w:pPr>
      <w:r>
        <w:rPr>
          <w:rFonts w:ascii="楷体" w:hAnsi="楷体" w:eastAsia="楷体"/>
          <w:b/>
          <w:spacing w:val="-2"/>
          <w:sz w:val="32"/>
          <w:szCs w:val="32"/>
        </w:rPr>
        <w:t>一、部门概况</w:t>
      </w:r>
    </w:p>
    <w:p>
      <w:pPr>
        <w:widowControl/>
        <w:shd w:val="clear" w:color="auto" w:fill="FFFFFF"/>
        <w:spacing w:line="600" w:lineRule="atLeast"/>
        <w:ind w:firstLine="640"/>
        <w:rPr>
          <w:rFonts w:ascii="仿宋" w:hAnsi="仿宋" w:eastAsia="仿宋"/>
          <w:b/>
          <w:bCs/>
          <w:spacing w:val="-2"/>
          <w:sz w:val="32"/>
          <w:szCs w:val="32"/>
        </w:rPr>
      </w:pPr>
      <w:r>
        <w:rPr>
          <w:rFonts w:ascii="仿宋" w:hAnsi="仿宋" w:eastAsia="仿宋"/>
          <w:b/>
          <w:bCs/>
          <w:spacing w:val="-2"/>
          <w:sz w:val="32"/>
          <w:szCs w:val="32"/>
        </w:rPr>
        <w:t>（一）部门基本情况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hint="default" w:ascii="仿宋" w:hAnsi="仿宋" w:eastAsia="仿宋" w:cs="Times New Roman"/>
          <w:spacing w:val="-2"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  <w:t>1、部门职能</w:t>
      </w: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  <w:t>与</w:t>
      </w:r>
      <w:r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  <w:t>机构设置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sz w:val="32"/>
          <w:szCs w:val="32"/>
        </w:rPr>
      </w:pPr>
      <w:r>
        <w:rPr>
          <w:rFonts w:hint="default" w:ascii="仿宋" w:hAnsi="仿宋" w:eastAsia="仿宋" w:cs="Times New Roman"/>
          <w:spacing w:val="-2"/>
          <w:sz w:val="32"/>
          <w:szCs w:val="32"/>
        </w:rPr>
        <w:t>怀化市民政局系正处级全额拨款预算单位，主要承担负责城乡低保、社会福利、社会救助、基层政权和社区建设、社会组织发展、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地名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区划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管理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、彩票发行、慈善捐赠、婚姻登记、儿童收养、殡葬管理等工作职能。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内设科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室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部门分别是：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办公室（法制科）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基政社区和区划地名科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社会事务科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规划财务科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机关党委（人事科）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慈善事业促进和社会工作科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养老服务和儿童福利科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社会组织管理科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社会救助科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、机关纪委、民政事务中心。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sz w:val="32"/>
          <w:szCs w:val="32"/>
        </w:rPr>
      </w:pPr>
      <w:r>
        <w:rPr>
          <w:rFonts w:hint="default" w:ascii="仿宋" w:hAnsi="仿宋" w:eastAsia="仿宋" w:cs="Times New Roman"/>
          <w:spacing w:val="-2"/>
          <w:sz w:val="32"/>
          <w:szCs w:val="32"/>
        </w:rPr>
        <w:t>二级部门预算单位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分别是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：怀化市救助管理站、怀化市社会福利院、怀化市殡葬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事务中心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2022年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末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实有人数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120人，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其中：在编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员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120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人，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（包括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行政编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36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人，参照公务员法管理事业人员22人，非参公事业编62人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  <w:t>、202</w:t>
      </w: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  <w:t>年重点工作计划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坚持稳字当头，统筹发展与安全。强化底线思维，全力确保涉老领域非法集资“零风险”、民政领域安全管理“零事故”、民生资金监管“零差错”、正风肃纪“零容忍”。           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坚持稳中求进，突出重点与关键。以真抓实干为统揽，加快建立居家社区养老机构相协调、医养康养相结合的养老服务体系，全力争取全国、全省养老服务真抓实干激励表彰。牢固树立“抓项目就是抓发展”的理念，全面落实惠民属性，加快推进市第二福利院开工及市殡仪馆前期建设等重点民生项目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是坚持五化导向，彰显为民与爱民。完善分层分类救助体系，推动从“精准救助”向“主动救助”转变，创新现代化基层治理体系，以市域为单位进一步宣传推广“幸福基金”“溆浦经验”，大力建设“清廉乡村（社区）”，深化殡葬改革，推动基层社工站和社会工作服务提质增效。加快推行“智慧养老”“智慧门牌”“智慧救助”，推进民政办事服务“网上办”“掌上办”，加强社工、养老、殡葬等高素质专业化人才队伍建设。</w:t>
      </w:r>
    </w:p>
    <w:p>
      <w:pPr>
        <w:widowControl/>
        <w:numPr>
          <w:ilvl w:val="0"/>
          <w:numId w:val="2"/>
        </w:numPr>
        <w:shd w:val="clear" w:color="auto" w:fill="FFFFFF"/>
        <w:spacing w:line="600" w:lineRule="atLeast"/>
        <w:ind w:firstLine="640"/>
        <w:rPr>
          <w:rFonts w:ascii="仿宋" w:hAnsi="仿宋" w:eastAsia="仿宋"/>
          <w:b/>
          <w:bCs/>
          <w:spacing w:val="-2"/>
          <w:sz w:val="32"/>
          <w:szCs w:val="32"/>
        </w:rPr>
      </w:pPr>
      <w:r>
        <w:rPr>
          <w:rFonts w:ascii="仿宋" w:hAnsi="仿宋" w:eastAsia="仿宋"/>
          <w:b/>
          <w:bCs/>
          <w:spacing w:val="-2"/>
          <w:sz w:val="32"/>
          <w:szCs w:val="32"/>
        </w:rPr>
        <w:t>部门整体支出规模、使用方向和内容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（1）年初预算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根据2022年部门预算批复，年度部门收支预算情况如下：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30" w:firstLineChars="300"/>
        <w:jc w:val="both"/>
        <w:textAlignment w:val="auto"/>
        <w:rPr>
          <w:rFonts w:hint="default" w:ascii="Times New Roman" w:hAnsi="Times New Roman" w:eastAsia="仿宋" w:cs="Times New Roman"/>
          <w:color w:val="3D3D3D"/>
          <w:sz w:val="21"/>
          <w:szCs w:val="21"/>
        </w:rPr>
      </w:pPr>
      <w:r>
        <w:rPr>
          <w:rFonts w:hint="eastAsia" w:ascii="Times New Roman" w:hAnsi="Times New Roman" w:eastAsia="仿宋" w:cs="Times New Roman"/>
          <w:color w:val="3D3D3D"/>
          <w:sz w:val="21"/>
          <w:szCs w:val="21"/>
          <w:shd w:val="clear" w:color="auto" w:fill="FFFFFF"/>
          <w:lang w:val="en-US" w:eastAsia="zh-CN"/>
        </w:rPr>
        <w:t xml:space="preserve">                                                        </w:t>
      </w:r>
      <w:r>
        <w:rPr>
          <w:rFonts w:hint="eastAsia" w:ascii="仿宋" w:hAnsi="仿宋" w:eastAsia="仿宋" w:cs="仿宋"/>
          <w:kern w:val="0"/>
          <w:sz w:val="21"/>
          <w:szCs w:val="21"/>
          <w:lang w:val="en-US" w:eastAsia="zh-CN" w:bidi="ar-SA"/>
        </w:rPr>
        <w:t xml:space="preserve">    </w:t>
      </w:r>
      <w:r>
        <w:rPr>
          <w:rFonts w:hint="default" w:ascii="仿宋" w:hAnsi="仿宋" w:eastAsia="仿宋" w:cs="仿宋"/>
          <w:kern w:val="0"/>
          <w:sz w:val="21"/>
          <w:szCs w:val="21"/>
          <w:lang w:val="en-US" w:eastAsia="zh-CN" w:bidi="ar-SA"/>
        </w:rPr>
        <w:t>单位：万元</w:t>
      </w:r>
    </w:p>
    <w:tbl>
      <w:tblPr>
        <w:tblStyle w:val="5"/>
        <w:tblW w:w="8483" w:type="dxa"/>
        <w:tblInd w:w="-17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574"/>
        <w:gridCol w:w="1430"/>
        <w:gridCol w:w="1392"/>
        <w:gridCol w:w="1390"/>
        <w:gridCol w:w="169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60" w:hRule="atLeast"/>
        </w:trPr>
        <w:tc>
          <w:tcPr>
            <w:tcW w:w="2574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0" w:name="OLE_LINK8" w:colFirst="0" w:colLast="4"/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预算项目</w:t>
            </w:r>
          </w:p>
        </w:tc>
        <w:tc>
          <w:tcPr>
            <w:tcW w:w="282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预算金额</w:t>
            </w:r>
          </w:p>
        </w:tc>
        <w:tc>
          <w:tcPr>
            <w:tcW w:w="308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较上年增减变化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45" w:hRule="atLeast"/>
        </w:trPr>
        <w:tc>
          <w:tcPr>
            <w:tcW w:w="257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3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3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金额</w:t>
            </w:r>
          </w:p>
        </w:tc>
        <w:tc>
          <w:tcPr>
            <w:tcW w:w="16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比例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7" w:hRule="atLeast"/>
        </w:trPr>
        <w:tc>
          <w:tcPr>
            <w:tcW w:w="257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收入预算</w:t>
            </w:r>
          </w:p>
        </w:tc>
        <w:tc>
          <w:tcPr>
            <w:tcW w:w="14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3,065.93</w:t>
            </w:r>
          </w:p>
        </w:tc>
        <w:tc>
          <w:tcPr>
            <w:tcW w:w="13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3,050.57</w:t>
            </w:r>
          </w:p>
        </w:tc>
        <w:tc>
          <w:tcPr>
            <w:tcW w:w="13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15.36</w:t>
            </w:r>
          </w:p>
        </w:tc>
        <w:tc>
          <w:tcPr>
            <w:tcW w:w="16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07" w:hRule="atLeast"/>
        </w:trPr>
        <w:tc>
          <w:tcPr>
            <w:tcW w:w="257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其中：财政经费拨款</w:t>
            </w:r>
          </w:p>
        </w:tc>
        <w:tc>
          <w:tcPr>
            <w:tcW w:w="14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2,020.93</w:t>
            </w:r>
          </w:p>
        </w:tc>
        <w:tc>
          <w:tcPr>
            <w:tcW w:w="13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1,775.57</w:t>
            </w:r>
          </w:p>
        </w:tc>
        <w:tc>
          <w:tcPr>
            <w:tcW w:w="13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245.36</w:t>
            </w:r>
          </w:p>
        </w:tc>
        <w:tc>
          <w:tcPr>
            <w:tcW w:w="16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12.14%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7" w:hRule="atLeast"/>
        </w:trPr>
        <w:tc>
          <w:tcPr>
            <w:tcW w:w="257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支出预算</w:t>
            </w:r>
          </w:p>
        </w:tc>
        <w:tc>
          <w:tcPr>
            <w:tcW w:w="14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3,065.93</w:t>
            </w:r>
          </w:p>
        </w:tc>
        <w:tc>
          <w:tcPr>
            <w:tcW w:w="13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3,050.57</w:t>
            </w:r>
          </w:p>
        </w:tc>
        <w:tc>
          <w:tcPr>
            <w:tcW w:w="13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15.36</w:t>
            </w:r>
          </w:p>
        </w:tc>
        <w:tc>
          <w:tcPr>
            <w:tcW w:w="16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07" w:hRule="atLeast"/>
        </w:trPr>
        <w:tc>
          <w:tcPr>
            <w:tcW w:w="257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其中：基本支出</w:t>
            </w:r>
          </w:p>
        </w:tc>
        <w:tc>
          <w:tcPr>
            <w:tcW w:w="14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1,606.93</w:t>
            </w:r>
          </w:p>
        </w:tc>
        <w:tc>
          <w:tcPr>
            <w:tcW w:w="13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1,656.07</w:t>
            </w:r>
          </w:p>
        </w:tc>
        <w:tc>
          <w:tcPr>
            <w:tcW w:w="13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-49.14</w:t>
            </w:r>
          </w:p>
        </w:tc>
        <w:tc>
          <w:tcPr>
            <w:tcW w:w="16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-3.06%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82" w:hRule="atLeast"/>
        </w:trPr>
        <w:tc>
          <w:tcPr>
            <w:tcW w:w="257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其中：项目支出</w:t>
            </w:r>
          </w:p>
        </w:tc>
        <w:tc>
          <w:tcPr>
            <w:tcW w:w="14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1,459.00</w:t>
            </w:r>
          </w:p>
        </w:tc>
        <w:tc>
          <w:tcPr>
            <w:tcW w:w="13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894.50</w:t>
            </w:r>
          </w:p>
        </w:tc>
        <w:tc>
          <w:tcPr>
            <w:tcW w:w="13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564.50</w:t>
            </w:r>
          </w:p>
        </w:tc>
        <w:tc>
          <w:tcPr>
            <w:tcW w:w="16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38.69%</w:t>
            </w:r>
          </w:p>
        </w:tc>
      </w:tr>
      <w:bookmarkEnd w:id="0"/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根据年初预算批复，年初预算金额总计3,065.93万元，其中财政经费拨款2,020.93万元，按预算支出用途划分，基本支出预算 1,606.93万元，占年度部门整体支出预算52.41%；项目支出预算1,459.00万元，占年度部门整体支出预算的47.59 %。与上年比较，本年预算总额增加15.36万元，增幅0.50%。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（2）年度可用预算指标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76" w:afterAutospacing="0" w:line="510" w:lineRule="atLeast"/>
        <w:ind w:right="0" w:firstLine="210" w:firstLineChars="100"/>
        <w:jc w:val="center"/>
        <w:rPr>
          <w:rFonts w:hint="default" w:ascii="Times New Roman" w:hAnsi="Times New Roman" w:eastAsia="仿宋" w:cs="Times New Roman"/>
          <w:color w:val="3D3D3D"/>
          <w:sz w:val="21"/>
          <w:szCs w:val="21"/>
        </w:rPr>
      </w:pPr>
      <w:r>
        <w:rPr>
          <w:rFonts w:hint="eastAsia" w:ascii="Times New Roman" w:hAnsi="Times New Roman" w:eastAsia="仿宋" w:cs="Times New Roman"/>
          <w:color w:val="3D3D3D"/>
          <w:sz w:val="21"/>
          <w:szCs w:val="21"/>
          <w:shd w:val="clear" w:color="auto" w:fill="FFFFFF"/>
          <w:lang w:val="en-US" w:eastAsia="zh-CN"/>
        </w:rPr>
        <w:t xml:space="preserve">                                                           </w:t>
      </w:r>
      <w:r>
        <w:rPr>
          <w:rFonts w:hint="default" w:ascii="仿宋" w:hAnsi="仿宋" w:eastAsia="仿宋" w:cs="仿宋"/>
          <w:kern w:val="0"/>
          <w:sz w:val="21"/>
          <w:szCs w:val="21"/>
          <w:lang w:val="en-US" w:eastAsia="zh-CN" w:bidi="ar-SA"/>
        </w:rPr>
        <w:t>单位：万元</w:t>
      </w:r>
    </w:p>
    <w:tbl>
      <w:tblPr>
        <w:tblStyle w:val="5"/>
        <w:tblW w:w="8314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05"/>
        <w:gridCol w:w="2239"/>
        <w:gridCol w:w="1443"/>
        <w:gridCol w:w="1727"/>
        <w:gridCol w:w="190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</w:trPr>
        <w:tc>
          <w:tcPr>
            <w:tcW w:w="1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1" w:name="OLE_LINK9" w:colFirst="0" w:colLast="3"/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年度</w:t>
            </w:r>
          </w:p>
        </w:tc>
        <w:tc>
          <w:tcPr>
            <w:tcW w:w="223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预算项目</w:t>
            </w:r>
          </w:p>
        </w:tc>
        <w:tc>
          <w:tcPr>
            <w:tcW w:w="1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基本支出</w:t>
            </w:r>
          </w:p>
        </w:tc>
        <w:tc>
          <w:tcPr>
            <w:tcW w:w="17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项目支出</w:t>
            </w:r>
          </w:p>
        </w:tc>
        <w:tc>
          <w:tcPr>
            <w:tcW w:w="1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15" w:hRule="atLeast"/>
        </w:trPr>
        <w:tc>
          <w:tcPr>
            <w:tcW w:w="1005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2" w:name="OLE_LINK5" w:colFirst="2" w:colLast="2"/>
            <w:bookmarkStart w:id="3" w:name="OLE_LINK2" w:colFirst="3" w:colLast="3"/>
            <w:bookmarkStart w:id="4" w:name="OLE_LINK4" w:colFirst="2" w:colLast="2"/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本年</w:t>
            </w:r>
          </w:p>
        </w:tc>
        <w:tc>
          <w:tcPr>
            <w:tcW w:w="223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本年预算</w:t>
            </w:r>
          </w:p>
        </w:tc>
        <w:tc>
          <w:tcPr>
            <w:tcW w:w="1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1,606.93</w:t>
            </w:r>
          </w:p>
        </w:tc>
        <w:tc>
          <w:tcPr>
            <w:tcW w:w="17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1,459.00</w:t>
            </w:r>
          </w:p>
        </w:tc>
        <w:tc>
          <w:tcPr>
            <w:tcW w:w="1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3,065.93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0" w:hRule="atLeast"/>
        </w:trPr>
        <w:tc>
          <w:tcPr>
            <w:tcW w:w="100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3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上级拨款</w:t>
            </w:r>
          </w:p>
        </w:tc>
        <w:tc>
          <w:tcPr>
            <w:tcW w:w="1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1,253.46</w:t>
            </w:r>
          </w:p>
        </w:tc>
        <w:tc>
          <w:tcPr>
            <w:tcW w:w="17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4,173.56</w:t>
            </w:r>
          </w:p>
        </w:tc>
        <w:tc>
          <w:tcPr>
            <w:tcW w:w="1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5,427.02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15" w:hRule="atLeast"/>
        </w:trPr>
        <w:tc>
          <w:tcPr>
            <w:tcW w:w="100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3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年初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结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转</w:t>
            </w:r>
          </w:p>
        </w:tc>
        <w:tc>
          <w:tcPr>
            <w:tcW w:w="1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6.42</w:t>
            </w:r>
          </w:p>
        </w:tc>
        <w:tc>
          <w:tcPr>
            <w:tcW w:w="17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0.90</w:t>
            </w:r>
          </w:p>
        </w:tc>
        <w:tc>
          <w:tcPr>
            <w:tcW w:w="1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7.32</w:t>
            </w:r>
          </w:p>
        </w:tc>
      </w:tr>
      <w:bookmarkEnd w:id="2"/>
      <w:bookmarkEnd w:id="3"/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15" w:hRule="atLeast"/>
        </w:trPr>
        <w:tc>
          <w:tcPr>
            <w:tcW w:w="100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5" w:name="OLE_LINK6" w:colFirst="2" w:colLast="3"/>
          </w:p>
        </w:tc>
        <w:tc>
          <w:tcPr>
            <w:tcW w:w="223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本年可用指标</w:t>
            </w:r>
          </w:p>
        </w:tc>
        <w:tc>
          <w:tcPr>
            <w:tcW w:w="1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2,866.81</w:t>
            </w:r>
          </w:p>
        </w:tc>
        <w:tc>
          <w:tcPr>
            <w:tcW w:w="17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5,633.46</w:t>
            </w:r>
          </w:p>
        </w:tc>
        <w:tc>
          <w:tcPr>
            <w:tcW w:w="1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8,500.27</w:t>
            </w:r>
          </w:p>
        </w:tc>
      </w:tr>
      <w:bookmarkEnd w:id="4"/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14" w:hRule="atLeast"/>
        </w:trPr>
        <w:tc>
          <w:tcPr>
            <w:tcW w:w="324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6" w:name="OLE_LINK7" w:colFirst="1" w:colLast="3"/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上年可用指标</w:t>
            </w:r>
          </w:p>
        </w:tc>
        <w:tc>
          <w:tcPr>
            <w:tcW w:w="1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7,355.50</w:t>
            </w:r>
          </w:p>
        </w:tc>
      </w:tr>
      <w:bookmarkEnd w:id="5"/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0" w:hRule="atLeast"/>
        </w:trPr>
        <w:tc>
          <w:tcPr>
            <w:tcW w:w="324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较上年增减金额</w:t>
            </w:r>
          </w:p>
        </w:tc>
        <w:tc>
          <w:tcPr>
            <w:tcW w:w="1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1,144.77</w:t>
            </w:r>
          </w:p>
        </w:tc>
      </w:tr>
      <w:bookmarkEnd w:id="6"/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60" w:hRule="atLeast"/>
        </w:trPr>
        <w:tc>
          <w:tcPr>
            <w:tcW w:w="324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较上年增减比例</w:t>
            </w:r>
          </w:p>
        </w:tc>
        <w:tc>
          <w:tcPr>
            <w:tcW w:w="1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15.56%</w:t>
            </w:r>
          </w:p>
        </w:tc>
      </w:tr>
      <w:bookmarkEnd w:id="1"/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根据上年结余和本年上级拨款，本年预算可用指标8,500.27万元，其中基本支出 2,866.82万元，占33.73 %；项目支出5,633.46万元，占66.27%。本年总预算较上年增加1,144.77万元，增加比例15.56%。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2、财政预算整体支出使用范围、方向和内容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本年年初财政预算支出3,065.93万元，主要为基本支出 1,606.93万元，占预算资金总额的占52.41%；项目支出  1,459.00万元，占47.59 %。基本支出具体使用方向和内容如下：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76" w:afterAutospacing="0" w:line="510" w:lineRule="atLeast"/>
        <w:ind w:left="0" w:right="0" w:firstLine="420"/>
        <w:jc w:val="both"/>
        <w:rPr>
          <w:rFonts w:hint="eastAsia" w:ascii="仿宋" w:hAnsi="仿宋" w:eastAsia="仿宋" w:cs="仿宋"/>
          <w:color w:val="3D3D3D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  <w:lang w:val="en-US" w:eastAsia="zh-CN"/>
        </w:rPr>
        <w:t xml:space="preserve">                                         </w:t>
      </w:r>
      <w:r>
        <w:rPr>
          <w:rFonts w:hint="eastAsia" w:ascii="仿宋" w:hAnsi="仿宋" w:eastAsia="仿宋" w:cs="仿宋"/>
          <w:kern w:val="0"/>
          <w:sz w:val="21"/>
          <w:szCs w:val="21"/>
          <w:lang w:val="en-US" w:eastAsia="zh-CN" w:bidi="ar-SA"/>
        </w:rPr>
        <w:t>单位：万元</w:t>
      </w:r>
    </w:p>
    <w:tbl>
      <w:tblPr>
        <w:tblStyle w:val="5"/>
        <w:tblW w:w="8314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134"/>
        <w:gridCol w:w="2125"/>
        <w:gridCol w:w="2011"/>
        <w:gridCol w:w="2044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21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7" w:name="OLE_LINK10" w:colFirst="0" w:colLast="3"/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支出项目</w:t>
            </w:r>
          </w:p>
        </w:tc>
        <w:tc>
          <w:tcPr>
            <w:tcW w:w="212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基本支出</w:t>
            </w:r>
          </w:p>
        </w:tc>
        <w:tc>
          <w:tcPr>
            <w:tcW w:w="2011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项目支出</w:t>
            </w:r>
          </w:p>
        </w:tc>
        <w:tc>
          <w:tcPr>
            <w:tcW w:w="204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21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8" w:name="OLE_LINK13" w:colFirst="1" w:colLast="1"/>
            <w:bookmarkStart w:id="9" w:name="OLE_LINK16" w:colFirst="3" w:colLast="3"/>
            <w:bookmarkStart w:id="10" w:name="OLE_LINK15" w:colFirst="1" w:colLast="2"/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工资福利支出</w:t>
            </w:r>
          </w:p>
        </w:tc>
        <w:tc>
          <w:tcPr>
            <w:tcW w:w="21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1,202.28</w:t>
            </w:r>
          </w:p>
        </w:tc>
        <w:tc>
          <w:tcPr>
            <w:tcW w:w="20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04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1,202.28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5" w:hRule="atLeast"/>
          <w:jc w:val="center"/>
        </w:trPr>
        <w:tc>
          <w:tcPr>
            <w:tcW w:w="21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11" w:name="OLE_LINK14" w:colFirst="2" w:colLast="2"/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商品和服务支出</w:t>
            </w:r>
          </w:p>
        </w:tc>
        <w:tc>
          <w:tcPr>
            <w:tcW w:w="21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313.69</w:t>
            </w:r>
          </w:p>
        </w:tc>
        <w:tc>
          <w:tcPr>
            <w:tcW w:w="20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04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313.69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21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210" w:firstLineChars="10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对个人和家庭的补助</w:t>
            </w:r>
          </w:p>
        </w:tc>
        <w:tc>
          <w:tcPr>
            <w:tcW w:w="21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90.96</w:t>
            </w:r>
          </w:p>
        </w:tc>
        <w:tc>
          <w:tcPr>
            <w:tcW w:w="20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04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90.96</w:t>
            </w:r>
          </w:p>
        </w:tc>
      </w:tr>
      <w:bookmarkEnd w:id="8"/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45" w:hRule="atLeast"/>
          <w:jc w:val="center"/>
        </w:trPr>
        <w:tc>
          <w:tcPr>
            <w:tcW w:w="21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运转其他类</w:t>
            </w:r>
          </w:p>
        </w:tc>
        <w:tc>
          <w:tcPr>
            <w:tcW w:w="21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0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1,411.00</w:t>
            </w:r>
          </w:p>
        </w:tc>
        <w:tc>
          <w:tcPr>
            <w:tcW w:w="204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1,411.00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00" w:hRule="atLeast"/>
          <w:jc w:val="center"/>
        </w:trPr>
        <w:tc>
          <w:tcPr>
            <w:tcW w:w="21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特定目标类</w:t>
            </w:r>
          </w:p>
        </w:tc>
        <w:tc>
          <w:tcPr>
            <w:tcW w:w="21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0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48.00</w:t>
            </w:r>
          </w:p>
        </w:tc>
        <w:tc>
          <w:tcPr>
            <w:tcW w:w="204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48.00</w:t>
            </w:r>
          </w:p>
        </w:tc>
      </w:tr>
      <w:bookmarkEnd w:id="9"/>
      <w:bookmarkEnd w:id="11"/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20" w:hRule="atLeast"/>
          <w:jc w:val="center"/>
        </w:trPr>
        <w:tc>
          <w:tcPr>
            <w:tcW w:w="213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1,606.93</w:t>
            </w:r>
          </w:p>
        </w:tc>
        <w:tc>
          <w:tcPr>
            <w:tcW w:w="20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630" w:firstLineChars="3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1,459.00</w:t>
            </w:r>
          </w:p>
        </w:tc>
        <w:tc>
          <w:tcPr>
            <w:tcW w:w="204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3,065.93</w:t>
            </w:r>
          </w:p>
        </w:tc>
      </w:tr>
      <w:bookmarkEnd w:id="7"/>
      <w:bookmarkEnd w:id="10"/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2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3、</w:t>
      </w:r>
      <w:r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年度预算收入决算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本年预算可用指标8,500.27万元，包括本年财政拨款决算收入6,226.56 万元，政府性基金预算财政拨款收入1,609.45万元，其他收入643.27万元，使用非财政拨款结余13.67万元,年初结转和结余7.32万元。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2" w:firstLineChars="200"/>
        <w:jc w:val="both"/>
        <w:textAlignment w:val="auto"/>
        <w:rPr>
          <w:rFonts w:hint="eastAsia" w:ascii="仿宋" w:hAnsi="仿宋" w:eastAsia="仿宋" w:cs="仿宋"/>
          <w:kern w:val="0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4、年度预算支出决算及结余</w:t>
      </w:r>
      <w:r>
        <w:rPr>
          <w:rFonts w:hint="eastAsia" w:ascii="Times New Roman" w:hAnsi="Times New Roman" w:eastAsia="仿宋" w:cs="Times New Roman"/>
          <w:color w:val="3D3D3D"/>
          <w:sz w:val="21"/>
          <w:szCs w:val="21"/>
          <w:shd w:val="clear" w:color="auto" w:fill="FFFFFF"/>
          <w:lang w:val="en-US" w:eastAsia="zh-CN"/>
        </w:rPr>
        <w:t xml:space="preserve">                                                   </w:t>
      </w:r>
      <w:r>
        <w:rPr>
          <w:rFonts w:hint="eastAsia" w:ascii="仿宋" w:hAnsi="仿宋" w:eastAsia="仿宋" w:cs="仿宋"/>
          <w:kern w:val="0"/>
          <w:sz w:val="21"/>
          <w:szCs w:val="21"/>
          <w:lang w:val="en-US" w:eastAsia="zh-CN" w:bidi="ar-SA"/>
        </w:rPr>
        <w:t xml:space="preserve">  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76" w:afterAutospacing="0" w:line="510" w:lineRule="atLeast"/>
        <w:ind w:left="0" w:right="0" w:firstLine="420"/>
        <w:jc w:val="center"/>
        <w:rPr>
          <w:rFonts w:hint="default" w:ascii="Times New Roman" w:hAnsi="Times New Roman" w:eastAsia="仿宋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 w:bidi="ar-SA"/>
        </w:rPr>
        <w:t xml:space="preserve">                                                               </w:t>
      </w:r>
      <w:r>
        <w:rPr>
          <w:rFonts w:hint="default" w:ascii="仿宋" w:hAnsi="仿宋" w:eastAsia="仿宋" w:cs="仿宋"/>
          <w:kern w:val="0"/>
          <w:sz w:val="21"/>
          <w:szCs w:val="21"/>
          <w:lang w:val="en-US" w:eastAsia="zh-CN" w:bidi="ar-SA"/>
        </w:rPr>
        <w:t>单位：万元</w:t>
      </w:r>
    </w:p>
    <w:tbl>
      <w:tblPr>
        <w:tblStyle w:val="5"/>
        <w:tblW w:w="9427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963"/>
        <w:gridCol w:w="1005"/>
        <w:gridCol w:w="1260"/>
        <w:gridCol w:w="1140"/>
        <w:gridCol w:w="2054"/>
        <w:gridCol w:w="855"/>
        <w:gridCol w:w="115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1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12" w:name="OLE_LINK17"/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项 目 </w:t>
            </w:r>
          </w:p>
        </w:tc>
        <w:tc>
          <w:tcPr>
            <w:tcW w:w="1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上年结转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预算收入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决算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支出</w:t>
            </w:r>
          </w:p>
        </w:tc>
        <w:tc>
          <w:tcPr>
            <w:tcW w:w="2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使用非财政拨款结余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结余分配</w:t>
            </w:r>
          </w:p>
        </w:tc>
        <w:tc>
          <w:tcPr>
            <w:tcW w:w="1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年末结余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5" w:hRule="atLeast"/>
          <w:jc w:val="center"/>
        </w:trPr>
        <w:tc>
          <w:tcPr>
            <w:tcW w:w="1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bookmarkStart w:id="13" w:name="OLE_LINK11" w:colFirst="2" w:colLast="3"/>
            <w:bookmarkStart w:id="14" w:name="OLE_LINK12" w:colFirst="2" w:colLast="2"/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财政拨款收入</w:t>
            </w:r>
          </w:p>
        </w:tc>
        <w:tc>
          <w:tcPr>
            <w:tcW w:w="1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7,836.00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60" w:hRule="atLeast"/>
          <w:jc w:val="center"/>
        </w:trPr>
        <w:tc>
          <w:tcPr>
            <w:tcW w:w="1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其他收入</w:t>
            </w:r>
          </w:p>
        </w:tc>
        <w:tc>
          <w:tcPr>
            <w:tcW w:w="1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643.28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7" w:hRule="atLeast"/>
          <w:jc w:val="center"/>
        </w:trPr>
        <w:tc>
          <w:tcPr>
            <w:tcW w:w="1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基本支出</w:t>
            </w:r>
          </w:p>
        </w:tc>
        <w:tc>
          <w:tcPr>
            <w:tcW w:w="1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6.42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2,864.63</w:t>
            </w:r>
          </w:p>
        </w:tc>
        <w:tc>
          <w:tcPr>
            <w:tcW w:w="2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92" w:hRule="atLeast"/>
          <w:jc w:val="center"/>
        </w:trPr>
        <w:tc>
          <w:tcPr>
            <w:tcW w:w="1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项目支出</w:t>
            </w:r>
          </w:p>
        </w:tc>
        <w:tc>
          <w:tcPr>
            <w:tcW w:w="1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0.90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5,633.45</w:t>
            </w:r>
          </w:p>
        </w:tc>
        <w:tc>
          <w:tcPr>
            <w:tcW w:w="2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5" w:hRule="atLeast"/>
          <w:jc w:val="center"/>
        </w:trPr>
        <w:tc>
          <w:tcPr>
            <w:tcW w:w="1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使用非财政拨款结余</w:t>
            </w:r>
          </w:p>
        </w:tc>
        <w:tc>
          <w:tcPr>
            <w:tcW w:w="1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13.67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</w:tr>
      <w:bookmarkEnd w:id="13"/>
      <w:bookmarkEnd w:id="14"/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年末结转和结余</w:t>
            </w:r>
          </w:p>
        </w:tc>
        <w:tc>
          <w:tcPr>
            <w:tcW w:w="1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0" w:hRule="atLeast"/>
          <w:jc w:val="center"/>
        </w:trPr>
        <w:tc>
          <w:tcPr>
            <w:tcW w:w="1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10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7.32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479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1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498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13.67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2.19</w:t>
            </w:r>
          </w:p>
        </w:tc>
        <w:tc>
          <w:tcPr>
            <w:tcW w:w="11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</w:tr>
      <w:bookmarkEnd w:id="12"/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40" w:firstLineChars="200"/>
        <w:jc w:val="both"/>
        <w:textAlignment w:val="auto"/>
        <w:rPr>
          <w:rFonts w:hint="default" w:ascii="仿宋" w:hAnsi="仿宋" w:eastAsia="仿宋"/>
          <w:spacing w:val="-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2022年决算支出合计8,498.08 万元。按支出用途划分，基本支出2,864.63万元，占总支出的33.71%；项目支出5,633.45万元，占总支出的66.29 %。本年结余分配为事业单位转入非财政拨款结余2.19万元。</w:t>
      </w:r>
    </w:p>
    <w:p>
      <w:pPr>
        <w:widowControl/>
        <w:shd w:val="clear" w:color="auto" w:fill="FFFFFF"/>
        <w:spacing w:line="600" w:lineRule="atLeast"/>
        <w:ind w:firstLine="640"/>
        <w:rPr>
          <w:rFonts w:ascii="楷体" w:hAnsi="楷体" w:eastAsia="楷体"/>
          <w:b/>
          <w:spacing w:val="-2"/>
          <w:sz w:val="32"/>
          <w:szCs w:val="21"/>
        </w:rPr>
      </w:pPr>
      <w:r>
        <w:rPr>
          <w:rFonts w:ascii="楷体" w:hAnsi="楷体" w:eastAsia="楷体"/>
          <w:b/>
          <w:spacing w:val="-2"/>
          <w:sz w:val="32"/>
          <w:szCs w:val="32"/>
        </w:rPr>
        <w:t>二、部门整体支出管理及使用情况</w:t>
      </w:r>
    </w:p>
    <w:p>
      <w:pPr>
        <w:widowControl/>
        <w:shd w:val="clear" w:color="auto" w:fill="FFFFFF"/>
        <w:spacing w:line="600" w:lineRule="atLeast"/>
        <w:ind w:firstLine="643"/>
        <w:rPr>
          <w:rFonts w:ascii="仿宋" w:hAnsi="仿宋" w:eastAsia="仿宋"/>
          <w:b/>
          <w:spacing w:val="-2"/>
          <w:sz w:val="32"/>
          <w:szCs w:val="21"/>
        </w:rPr>
      </w:pPr>
      <w:r>
        <w:rPr>
          <w:rFonts w:ascii="仿宋" w:hAnsi="仿宋" w:eastAsia="仿宋"/>
          <w:b/>
          <w:spacing w:val="-2"/>
          <w:sz w:val="32"/>
          <w:szCs w:val="32"/>
        </w:rPr>
        <w:t>（一）基本支出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ascii="仿宋" w:hAnsi="仿宋" w:eastAsia="仿宋" w:cs="Times New Roman"/>
          <w:spacing w:val="-2"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  <w:t>1、基本支出</w:t>
      </w: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  <w:t>情况</w:t>
      </w:r>
    </w:p>
    <w:p>
      <w:pPr>
        <w:widowControl/>
        <w:shd w:val="clear" w:color="auto" w:fill="FFFFFF"/>
        <w:spacing w:line="600" w:lineRule="atLeast"/>
        <w:ind w:firstLine="640"/>
        <w:rPr>
          <w:rFonts w:ascii="仿宋" w:hAnsi="仿宋" w:eastAsia="仿宋" w:cs="Times New Roman"/>
          <w:spacing w:val="-2"/>
          <w:sz w:val="32"/>
          <w:szCs w:val="32"/>
        </w:rPr>
      </w:pPr>
      <w:r>
        <w:rPr>
          <w:rFonts w:ascii="仿宋" w:hAnsi="仿宋" w:eastAsia="仿宋" w:cs="Times New Roman"/>
          <w:spacing w:val="-2"/>
          <w:sz w:val="32"/>
          <w:szCs w:val="32"/>
        </w:rPr>
        <w:t>基本支出是指用于保障机构正常运转、完成日常工作任务而发生的支出，包括人员经费和日常公用经费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。</w:t>
      </w:r>
      <w:r>
        <w:rPr>
          <w:rFonts w:ascii="仿宋" w:hAnsi="仿宋" w:eastAsia="仿宋" w:cs="Times New Roman"/>
          <w:spacing w:val="-2"/>
          <w:sz w:val="32"/>
          <w:szCs w:val="32"/>
        </w:rPr>
        <w:t>20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22</w:t>
      </w:r>
      <w:r>
        <w:rPr>
          <w:rFonts w:ascii="仿宋" w:hAnsi="仿宋" w:eastAsia="仿宋" w:cs="Times New Roman"/>
          <w:spacing w:val="-2"/>
          <w:sz w:val="32"/>
          <w:szCs w:val="32"/>
        </w:rPr>
        <w:t>年基本支出年初结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转6.4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</w:t>
      </w:r>
      <w:r>
        <w:rPr>
          <w:rFonts w:ascii="仿宋" w:hAnsi="仿宋" w:eastAsia="仿宋" w:cs="Times New Roman"/>
          <w:spacing w:val="-2"/>
          <w:sz w:val="32"/>
          <w:szCs w:val="32"/>
        </w:rPr>
        <w:t>万元，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年初</w:t>
      </w:r>
      <w:r>
        <w:rPr>
          <w:rFonts w:ascii="仿宋" w:hAnsi="仿宋" w:eastAsia="仿宋" w:cs="Times New Roman"/>
          <w:spacing w:val="-2"/>
          <w:sz w:val="32"/>
          <w:szCs w:val="32"/>
        </w:rPr>
        <w:t>预算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1,606.93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万元，加上上级拨款1,253.46万元，本年度基本支出可用指标2,866.81</w:t>
      </w:r>
      <w:r>
        <w:rPr>
          <w:rFonts w:ascii="仿宋" w:hAnsi="仿宋" w:eastAsia="仿宋" w:cs="Times New Roman"/>
          <w:spacing w:val="-2"/>
          <w:sz w:val="32"/>
          <w:szCs w:val="32"/>
        </w:rPr>
        <w:t>万元。决算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支出</w:t>
      </w:r>
      <w:r>
        <w:rPr>
          <w:rFonts w:ascii="仿宋" w:hAnsi="仿宋" w:eastAsia="仿宋" w:cs="Times New Roman"/>
          <w:spacing w:val="-2"/>
          <w:sz w:val="32"/>
          <w:szCs w:val="32"/>
        </w:rPr>
        <w:t>为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2,864.63</w:t>
      </w:r>
      <w:r>
        <w:rPr>
          <w:rFonts w:ascii="仿宋" w:hAnsi="仿宋" w:eastAsia="仿宋" w:cs="Times New Roman"/>
          <w:spacing w:val="-2"/>
          <w:sz w:val="32"/>
          <w:szCs w:val="32"/>
        </w:rPr>
        <w:t>万元，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其中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人员经费决算支出   2,093.44万元，公用经费决算支出771.19万元。按经济分类支出：</w:t>
      </w:r>
      <w:r>
        <w:rPr>
          <w:rFonts w:ascii="仿宋" w:hAnsi="仿宋" w:eastAsia="仿宋" w:cs="Times New Roman"/>
          <w:spacing w:val="-2"/>
          <w:sz w:val="32"/>
          <w:szCs w:val="32"/>
        </w:rPr>
        <w:t>工资福利性支出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,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 xml:space="preserve">935.32 </w:t>
      </w:r>
      <w:r>
        <w:rPr>
          <w:rFonts w:ascii="仿宋" w:hAnsi="仿宋" w:eastAsia="仿宋" w:cs="Times New Roman"/>
          <w:spacing w:val="-2"/>
          <w:sz w:val="32"/>
          <w:szCs w:val="32"/>
        </w:rPr>
        <w:t>万元、商品和服务支出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738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81</w:t>
      </w:r>
      <w:r>
        <w:rPr>
          <w:rFonts w:ascii="仿宋" w:hAnsi="仿宋" w:eastAsia="仿宋" w:cs="Times New Roman"/>
          <w:spacing w:val="-2"/>
          <w:sz w:val="32"/>
          <w:szCs w:val="32"/>
        </w:rPr>
        <w:t>万元、对个人和家庭的补助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158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1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</w:t>
      </w:r>
      <w:r>
        <w:rPr>
          <w:rFonts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、资本性支出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 xml:space="preserve">  32.38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万元</w:t>
      </w:r>
      <w:r>
        <w:rPr>
          <w:rFonts w:ascii="仿宋" w:hAnsi="仿宋" w:eastAsia="仿宋" w:cs="Times New Roman"/>
          <w:spacing w:val="-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val="en-US" w:eastAsia="zh-CN"/>
        </w:rPr>
        <w:t>2、</w:t>
      </w:r>
      <w:r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  <w:t>“三公”经费情况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34" w:firstLineChars="200"/>
        <w:jc w:val="both"/>
        <w:textAlignment w:val="auto"/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  <w:t>）三公经费预决算情况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</w:pPr>
      <w:r>
        <w:rPr>
          <w:rFonts w:ascii="仿宋" w:hAnsi="仿宋" w:eastAsia="仿宋" w:cs="Times New Roman"/>
          <w:spacing w:val="-2"/>
          <w:sz w:val="32"/>
          <w:szCs w:val="32"/>
        </w:rPr>
        <w:t>20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22</w:t>
      </w:r>
      <w:r>
        <w:rPr>
          <w:rFonts w:ascii="仿宋" w:hAnsi="仿宋" w:eastAsia="仿宋" w:cs="Times New Roman"/>
          <w:spacing w:val="-2"/>
          <w:sz w:val="32"/>
          <w:szCs w:val="32"/>
        </w:rPr>
        <w:t>年初“三公”经费预算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106.30</w:t>
      </w:r>
      <w:r>
        <w:rPr>
          <w:rFonts w:ascii="仿宋" w:hAnsi="仿宋" w:eastAsia="仿宋" w:cs="Times New Roman"/>
          <w:spacing w:val="-2"/>
          <w:sz w:val="32"/>
          <w:szCs w:val="32"/>
        </w:rPr>
        <w:t>万元，其中公务接待费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53.09</w:t>
      </w:r>
      <w:r>
        <w:rPr>
          <w:rFonts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;</w:t>
      </w:r>
      <w:r>
        <w:rPr>
          <w:rFonts w:ascii="仿宋" w:hAnsi="仿宋" w:eastAsia="仿宋" w:cs="Times New Roman"/>
          <w:spacing w:val="-2"/>
          <w:sz w:val="32"/>
          <w:szCs w:val="32"/>
        </w:rPr>
        <w:t>公务用车运行维护费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53.21</w:t>
      </w:r>
      <w:r>
        <w:rPr>
          <w:rFonts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32" w:firstLineChars="200"/>
        <w:jc w:val="both"/>
        <w:textAlignment w:val="auto"/>
        <w:rPr>
          <w:rFonts w:ascii="仿宋" w:hAnsi="仿宋" w:eastAsia="仿宋" w:cs="Times New Roman"/>
          <w:spacing w:val="-2"/>
          <w:sz w:val="32"/>
          <w:szCs w:val="32"/>
        </w:rPr>
      </w:pPr>
      <w:r>
        <w:rPr>
          <w:rFonts w:ascii="仿宋" w:hAnsi="仿宋" w:eastAsia="仿宋" w:cs="Times New Roman"/>
          <w:spacing w:val="-2"/>
          <w:sz w:val="32"/>
          <w:szCs w:val="32"/>
        </w:rPr>
        <w:t>全年“三公”经费决算支出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21.69</w:t>
      </w:r>
      <w:r>
        <w:rPr>
          <w:rFonts w:ascii="仿宋" w:hAnsi="仿宋" w:eastAsia="仿宋" w:cs="Times New Roman"/>
          <w:spacing w:val="-2"/>
          <w:sz w:val="32"/>
          <w:szCs w:val="32"/>
        </w:rPr>
        <w:t>万元，其中公务接待费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2.68</w:t>
      </w:r>
      <w:r>
        <w:rPr>
          <w:rFonts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;</w:t>
      </w:r>
      <w:r>
        <w:rPr>
          <w:rFonts w:ascii="仿宋" w:hAnsi="仿宋" w:eastAsia="仿宋" w:cs="Times New Roman"/>
          <w:spacing w:val="-2"/>
          <w:sz w:val="32"/>
          <w:szCs w:val="32"/>
        </w:rPr>
        <w:t>公务用车运行维护费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19.01</w:t>
      </w:r>
      <w:r>
        <w:rPr>
          <w:rFonts w:ascii="仿宋" w:hAnsi="仿宋" w:eastAsia="仿宋" w:cs="Times New Roman"/>
          <w:spacing w:val="-2"/>
          <w:sz w:val="32"/>
          <w:szCs w:val="32"/>
        </w:rPr>
        <w:t>万元</w:t>
      </w:r>
      <w:bookmarkStart w:id="15" w:name="OLE_LINK1"/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。</w:t>
      </w:r>
      <w:r>
        <w:rPr>
          <w:rFonts w:ascii="仿宋" w:hAnsi="仿宋" w:eastAsia="仿宋" w:cs="Times New Roman"/>
          <w:spacing w:val="-2"/>
          <w:sz w:val="32"/>
          <w:szCs w:val="32"/>
        </w:rPr>
        <w:t>三公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经费预算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106.30</w:t>
      </w:r>
      <w:r>
        <w:rPr>
          <w:rFonts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，决算支出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21.69</w:t>
      </w:r>
      <w:r>
        <w:rPr>
          <w:rFonts w:ascii="仿宋" w:hAnsi="仿宋" w:eastAsia="仿宋" w:cs="Times New Roman"/>
          <w:spacing w:val="-2"/>
          <w:sz w:val="32"/>
          <w:szCs w:val="32"/>
        </w:rPr>
        <w:t>万元，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节约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84.61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万元</w:t>
      </w:r>
      <w:r>
        <w:rPr>
          <w:rFonts w:ascii="仿宋" w:hAnsi="仿宋" w:eastAsia="仿宋" w:cs="Times New Roman"/>
          <w:spacing w:val="-2"/>
          <w:sz w:val="32"/>
          <w:szCs w:val="32"/>
        </w:rPr>
        <w:t>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结约率</w:t>
      </w:r>
      <w:r>
        <w:rPr>
          <w:rFonts w:hint="eastAsia" w:ascii="仿宋" w:hAnsi="仿宋" w:eastAsia="仿宋" w:cs="Times New Roman"/>
          <w:spacing w:val="-2"/>
          <w:sz w:val="32"/>
          <w:szCs w:val="32"/>
          <w:u w:val="none"/>
          <w:lang w:val="en-US" w:eastAsia="zh-CN"/>
        </w:rPr>
        <w:t>79.60%</w:t>
      </w:r>
      <w:r>
        <w:rPr>
          <w:rFonts w:ascii="仿宋" w:hAnsi="仿宋" w:eastAsia="仿宋" w:cs="Times New Roman"/>
          <w:spacing w:val="-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sz w:val="32"/>
          <w:szCs w:val="32"/>
        </w:rPr>
      </w:pPr>
      <w:r>
        <w:rPr>
          <w:rFonts w:ascii="仿宋" w:hAnsi="仿宋" w:eastAsia="仿宋" w:cs="Times New Roman"/>
          <w:spacing w:val="-2"/>
          <w:sz w:val="32"/>
          <w:szCs w:val="32"/>
        </w:rPr>
        <w:t>全年因公务接待</w:t>
      </w:r>
      <w:r>
        <w:rPr>
          <w:rFonts w:hint="eastAsia" w:ascii="仿宋" w:hAnsi="仿宋" w:eastAsia="仿宋" w:cs="Times New Roman"/>
          <w:spacing w:val="-2"/>
          <w:sz w:val="32"/>
          <w:szCs w:val="32"/>
          <w:u w:val="none"/>
          <w:lang w:val="en-US" w:eastAsia="zh-CN"/>
        </w:rPr>
        <w:t>86</w:t>
      </w:r>
      <w:r>
        <w:rPr>
          <w:rFonts w:ascii="仿宋" w:hAnsi="仿宋" w:eastAsia="仿宋" w:cs="Times New Roman"/>
          <w:spacing w:val="-2"/>
          <w:sz w:val="32"/>
          <w:szCs w:val="32"/>
        </w:rPr>
        <w:t>批次，人数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544</w:t>
      </w:r>
      <w:r>
        <w:rPr>
          <w:rFonts w:ascii="仿宋" w:hAnsi="仿宋" w:eastAsia="仿宋" w:cs="Times New Roman"/>
          <w:spacing w:val="-2"/>
          <w:sz w:val="32"/>
          <w:szCs w:val="32"/>
        </w:rPr>
        <w:t>人。公务接待费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较预算减少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50.41</w:t>
      </w:r>
      <w:r>
        <w:rPr>
          <w:rFonts w:ascii="仿宋" w:hAnsi="仿宋" w:eastAsia="仿宋" w:cs="Times New Roman"/>
          <w:spacing w:val="-2"/>
          <w:sz w:val="32"/>
          <w:szCs w:val="32"/>
        </w:rPr>
        <w:t>万元，主要原因是进一步加强接待费管理，严格落实公函和接待清单制度。现有公务车辆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9</w:t>
      </w:r>
      <w:r>
        <w:rPr>
          <w:rFonts w:ascii="仿宋" w:hAnsi="仿宋" w:eastAsia="仿宋" w:cs="Times New Roman"/>
          <w:spacing w:val="-2"/>
          <w:sz w:val="32"/>
          <w:szCs w:val="32"/>
        </w:rPr>
        <w:t>台，公务用车运行维护费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较预算减少</w:t>
      </w:r>
      <w:r>
        <w:rPr>
          <w:rFonts w:hint="eastAsia" w:ascii="仿宋" w:hAnsi="仿宋" w:eastAsia="仿宋" w:cs="Times New Roman"/>
          <w:spacing w:val="-2"/>
          <w:sz w:val="32"/>
          <w:szCs w:val="32"/>
          <w:u w:val="none"/>
          <w:lang w:val="en-US" w:eastAsia="zh-CN"/>
        </w:rPr>
        <w:t>34.20</w:t>
      </w:r>
      <w:r>
        <w:rPr>
          <w:rFonts w:ascii="仿宋" w:hAnsi="仿宋" w:eastAsia="仿宋" w:cs="Times New Roman"/>
          <w:spacing w:val="-2"/>
          <w:sz w:val="32"/>
          <w:szCs w:val="32"/>
        </w:rPr>
        <w:t>万元。主要原因是进一步加强公务用车管理，公务用车运行费随之减少。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全年“三公经费”</w:t>
      </w:r>
      <w:r>
        <w:rPr>
          <w:rFonts w:ascii="仿宋" w:hAnsi="仿宋" w:eastAsia="仿宋" w:cs="Times New Roman"/>
          <w:spacing w:val="-2"/>
          <w:sz w:val="32"/>
          <w:szCs w:val="32"/>
        </w:rPr>
        <w:t>具体情况如下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表</w:t>
      </w:r>
      <w:r>
        <w:rPr>
          <w:rFonts w:ascii="仿宋" w:hAnsi="仿宋" w:eastAsia="仿宋" w:cs="Times New Roman"/>
          <w:spacing w:val="-2"/>
          <w:sz w:val="32"/>
          <w:szCs w:val="32"/>
        </w:rPr>
        <w:t>：</w:t>
      </w:r>
    </w:p>
    <w:bookmarkEnd w:id="15"/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7140" w:firstLineChars="3400"/>
        <w:jc w:val="both"/>
        <w:textAlignment w:val="auto"/>
        <w:rPr>
          <w:rFonts w:hint="eastAsia" w:ascii="仿宋" w:hAnsi="仿宋" w:eastAsia="仿宋" w:cs="仿宋"/>
          <w:kern w:val="0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 w:bidi="ar-SA"/>
        </w:rPr>
        <w:t>单位：万元</w:t>
      </w:r>
    </w:p>
    <w:tbl>
      <w:tblPr>
        <w:tblStyle w:val="5"/>
        <w:tblW w:w="8314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611"/>
        <w:gridCol w:w="2318"/>
        <w:gridCol w:w="2066"/>
        <w:gridCol w:w="231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16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费用项目</w:t>
            </w:r>
          </w:p>
        </w:tc>
        <w:tc>
          <w:tcPr>
            <w:tcW w:w="2318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预算</w:t>
            </w:r>
          </w:p>
        </w:tc>
        <w:tc>
          <w:tcPr>
            <w:tcW w:w="2066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本年决算</w:t>
            </w:r>
          </w:p>
        </w:tc>
        <w:tc>
          <w:tcPr>
            <w:tcW w:w="23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结余金额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60" w:hRule="atLeast"/>
          <w:jc w:val="center"/>
        </w:trPr>
        <w:tc>
          <w:tcPr>
            <w:tcW w:w="16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公务接待费</w:t>
            </w:r>
          </w:p>
        </w:tc>
        <w:tc>
          <w:tcPr>
            <w:tcW w:w="23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53.09</w:t>
            </w:r>
          </w:p>
        </w:tc>
        <w:tc>
          <w:tcPr>
            <w:tcW w:w="20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2.68</w:t>
            </w:r>
          </w:p>
        </w:tc>
        <w:tc>
          <w:tcPr>
            <w:tcW w:w="23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50.41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5" w:hRule="atLeast"/>
          <w:jc w:val="center"/>
        </w:trPr>
        <w:tc>
          <w:tcPr>
            <w:tcW w:w="16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公车运行维护费</w:t>
            </w:r>
          </w:p>
        </w:tc>
        <w:tc>
          <w:tcPr>
            <w:tcW w:w="23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53.21</w:t>
            </w:r>
          </w:p>
        </w:tc>
        <w:tc>
          <w:tcPr>
            <w:tcW w:w="20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19.01</w:t>
            </w:r>
          </w:p>
        </w:tc>
        <w:tc>
          <w:tcPr>
            <w:tcW w:w="23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34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0" w:hRule="atLeast"/>
          <w:jc w:val="center"/>
        </w:trPr>
        <w:tc>
          <w:tcPr>
            <w:tcW w:w="16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因公出国费用</w:t>
            </w:r>
          </w:p>
        </w:tc>
        <w:tc>
          <w:tcPr>
            <w:tcW w:w="23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          0.00</w:t>
            </w:r>
          </w:p>
        </w:tc>
        <w:tc>
          <w:tcPr>
            <w:tcW w:w="20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3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5" w:hRule="atLeast"/>
          <w:jc w:val="center"/>
        </w:trPr>
        <w:tc>
          <w:tcPr>
            <w:tcW w:w="16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231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106.30</w:t>
            </w:r>
          </w:p>
        </w:tc>
        <w:tc>
          <w:tcPr>
            <w:tcW w:w="20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21.69</w:t>
            </w:r>
          </w:p>
        </w:tc>
        <w:tc>
          <w:tcPr>
            <w:tcW w:w="23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      84.61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</w:pPr>
      <w:r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  <w:t>“三公经费”与上年度比较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rFonts w:ascii="仿宋" w:hAnsi="仿宋" w:eastAsia="仿宋" w:cs="Times New Roman"/>
          <w:spacing w:val="-2"/>
          <w:sz w:val="32"/>
          <w:szCs w:val="32"/>
        </w:rPr>
      </w:pPr>
      <w:r>
        <w:rPr>
          <w:rFonts w:hint="default" w:ascii="仿宋" w:hAnsi="仿宋" w:eastAsia="仿宋" w:cs="Times New Roman"/>
          <w:spacing w:val="-2"/>
          <w:sz w:val="32"/>
          <w:szCs w:val="32"/>
        </w:rPr>
        <w:t>与上年比较，本年“三公经费”管理得到了较好的控制，“三公经费”支出总额及明细均有减少。“三公经费”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支出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总额较上年减少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 xml:space="preserve">22.85 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万元，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减少比例51.30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%。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其中：公务接待费较上年减少4.18万元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公车运行维护费减少0.5万元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。</w:t>
      </w:r>
      <w:r>
        <w:rPr>
          <w:rFonts w:ascii="仿宋" w:hAnsi="仿宋" w:eastAsia="仿宋" w:cs="Times New Roman"/>
          <w:spacing w:val="-2"/>
          <w:sz w:val="32"/>
          <w:szCs w:val="32"/>
        </w:rPr>
        <w:t>具体情况如下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表</w:t>
      </w:r>
      <w:r>
        <w:rPr>
          <w:rFonts w:ascii="仿宋" w:hAnsi="仿宋" w:eastAsia="仿宋" w:cs="Times New Roman"/>
          <w:spacing w:val="-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42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21"/>
          <w:szCs w:val="21"/>
          <w:lang w:val="en-US" w:eastAsia="zh-CN"/>
        </w:rPr>
        <w:t xml:space="preserve">                                                               </w:t>
      </w: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单位：万元</w:t>
      </w:r>
    </w:p>
    <w:tbl>
      <w:tblPr>
        <w:tblStyle w:val="5"/>
        <w:tblW w:w="8314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984"/>
        <w:gridCol w:w="1465"/>
        <w:gridCol w:w="1543"/>
        <w:gridCol w:w="1559"/>
        <w:gridCol w:w="176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5" w:hRule="atLeast"/>
        </w:trPr>
        <w:tc>
          <w:tcPr>
            <w:tcW w:w="1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费用项目</w:t>
            </w:r>
          </w:p>
        </w:tc>
        <w:tc>
          <w:tcPr>
            <w:tcW w:w="1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本年支出</w:t>
            </w:r>
          </w:p>
        </w:tc>
        <w:tc>
          <w:tcPr>
            <w:tcW w:w="15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上年支出</w:t>
            </w:r>
          </w:p>
        </w:tc>
        <w:tc>
          <w:tcPr>
            <w:tcW w:w="15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减少金额</w:t>
            </w: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减少比率%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</w:trPr>
        <w:tc>
          <w:tcPr>
            <w:tcW w:w="1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公务接待费</w:t>
            </w:r>
          </w:p>
        </w:tc>
        <w:tc>
          <w:tcPr>
            <w:tcW w:w="1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2.68</w:t>
            </w:r>
          </w:p>
        </w:tc>
        <w:tc>
          <w:tcPr>
            <w:tcW w:w="15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6.86</w:t>
            </w:r>
          </w:p>
        </w:tc>
        <w:tc>
          <w:tcPr>
            <w:tcW w:w="15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4.18</w:t>
            </w: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60.93%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85" w:hRule="atLeast"/>
        </w:trPr>
        <w:tc>
          <w:tcPr>
            <w:tcW w:w="1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公车运行维护费</w:t>
            </w:r>
          </w:p>
        </w:tc>
        <w:tc>
          <w:tcPr>
            <w:tcW w:w="1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19.01</w:t>
            </w:r>
          </w:p>
        </w:tc>
        <w:tc>
          <w:tcPr>
            <w:tcW w:w="15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19.51</w:t>
            </w:r>
          </w:p>
        </w:tc>
        <w:tc>
          <w:tcPr>
            <w:tcW w:w="15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2.56%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</w:trPr>
        <w:tc>
          <w:tcPr>
            <w:tcW w:w="1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公务用车购置费</w:t>
            </w:r>
          </w:p>
        </w:tc>
        <w:tc>
          <w:tcPr>
            <w:tcW w:w="1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5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18.17</w:t>
            </w:r>
          </w:p>
        </w:tc>
        <w:tc>
          <w:tcPr>
            <w:tcW w:w="15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18.17</w:t>
            </w: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100.00%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</w:trPr>
        <w:tc>
          <w:tcPr>
            <w:tcW w:w="1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因公出国费用</w:t>
            </w:r>
          </w:p>
        </w:tc>
        <w:tc>
          <w:tcPr>
            <w:tcW w:w="1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5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5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5" w:hRule="atLeast"/>
        </w:trPr>
        <w:tc>
          <w:tcPr>
            <w:tcW w:w="1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14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21.69</w:t>
            </w:r>
          </w:p>
        </w:tc>
        <w:tc>
          <w:tcPr>
            <w:tcW w:w="15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44.54</w:t>
            </w:r>
          </w:p>
        </w:tc>
        <w:tc>
          <w:tcPr>
            <w:tcW w:w="15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22.85</w:t>
            </w:r>
          </w:p>
        </w:tc>
        <w:tc>
          <w:tcPr>
            <w:tcW w:w="1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51.30%</w:t>
            </w:r>
          </w:p>
        </w:tc>
      </w:tr>
    </w:tbl>
    <w:p>
      <w:pPr>
        <w:widowControl/>
        <w:shd w:val="clear" w:color="auto" w:fill="FFFFFF"/>
        <w:spacing w:line="600" w:lineRule="atLeast"/>
        <w:ind w:firstLine="643"/>
        <w:rPr>
          <w:rFonts w:ascii="楷体" w:hAnsi="楷体" w:eastAsia="楷体"/>
          <w:b/>
          <w:spacing w:val="-2"/>
          <w:sz w:val="32"/>
          <w:szCs w:val="21"/>
        </w:rPr>
      </w:pPr>
      <w:r>
        <w:rPr>
          <w:rFonts w:ascii="楷体" w:hAnsi="楷体" w:eastAsia="楷体"/>
          <w:b/>
          <w:spacing w:val="-2"/>
          <w:sz w:val="32"/>
          <w:szCs w:val="32"/>
        </w:rPr>
        <w:t>（二）专项支出</w:t>
      </w:r>
    </w:p>
    <w:p>
      <w:pPr>
        <w:widowControl/>
        <w:shd w:val="clear" w:color="auto" w:fill="FFFFFF"/>
        <w:spacing w:line="600" w:lineRule="atLeast"/>
        <w:ind w:firstLine="640"/>
        <w:rPr>
          <w:rFonts w:ascii="仿宋" w:hAnsi="仿宋" w:eastAsia="仿宋"/>
          <w:b/>
          <w:bCs/>
          <w:spacing w:val="-2"/>
          <w:sz w:val="32"/>
          <w:szCs w:val="32"/>
        </w:rPr>
      </w:pPr>
      <w:r>
        <w:rPr>
          <w:rFonts w:ascii="仿宋" w:hAnsi="仿宋" w:eastAsia="仿宋"/>
          <w:b/>
          <w:bCs/>
          <w:spacing w:val="-2"/>
          <w:sz w:val="32"/>
          <w:szCs w:val="32"/>
        </w:rPr>
        <w:t>1、专项资金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left="0" w:right="0"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ascii="仿宋" w:hAnsi="仿宋" w:eastAsia="仿宋" w:cs="Times New Roman"/>
          <w:spacing w:val="-2"/>
          <w:sz w:val="32"/>
          <w:szCs w:val="32"/>
        </w:rPr>
        <w:t>20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22</w:t>
      </w:r>
      <w:r>
        <w:rPr>
          <w:rFonts w:ascii="仿宋" w:hAnsi="仿宋" w:eastAsia="仿宋" w:cs="Times New Roman"/>
          <w:spacing w:val="-2"/>
          <w:sz w:val="32"/>
          <w:szCs w:val="32"/>
        </w:rPr>
        <w:t>年项目支出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年初预算1,459.00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万元，</w:t>
      </w:r>
      <w:r>
        <w:rPr>
          <w:rFonts w:ascii="仿宋" w:hAnsi="仿宋" w:eastAsia="仿宋" w:cs="Times New Roman"/>
          <w:spacing w:val="-2"/>
          <w:sz w:val="32"/>
          <w:szCs w:val="32"/>
        </w:rPr>
        <w:t>年初结余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0.90万元，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上级拨款4,173.56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万元，</w:t>
      </w:r>
      <w:r>
        <w:rPr>
          <w:rFonts w:ascii="仿宋" w:hAnsi="仿宋" w:eastAsia="仿宋" w:cs="Times New Roman"/>
          <w:spacing w:val="-2"/>
          <w:sz w:val="32"/>
          <w:szCs w:val="32"/>
        </w:rPr>
        <w:t>决算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支出5,633.45</w:t>
      </w:r>
      <w:r>
        <w:rPr>
          <w:rFonts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,年末无结余。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专项资金的用途：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一是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完成前一年度已安排未完成的专项任务，二是当年新安排的工作任务，以及本年度临时性承接的工作任务，三是维护常年性的工作任务。具体使用用途为：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①一般公共服务；②民政管理事务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；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③死亡抚恤；④儿童福利；⑤殡葬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；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⑥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社会福利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；⑦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临时救助；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⑧彩票公益金；⑨地方自行试点项目收益专项债券收入安排的支出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。资金来源主要为三部分：一是承接上年的专项资金结转，继续完成上年未完的专项工作任务；二是本年度已列入工作任务的专项预算资金；三是上级单位拨款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。</w:t>
      </w:r>
    </w:p>
    <w:p>
      <w:pPr>
        <w:widowControl/>
        <w:numPr>
          <w:ilvl w:val="0"/>
          <w:numId w:val="4"/>
        </w:numPr>
        <w:shd w:val="clear" w:color="auto" w:fill="FFFFFF"/>
        <w:spacing w:line="600" w:lineRule="atLeast"/>
        <w:ind w:firstLine="640"/>
        <w:rPr>
          <w:rFonts w:ascii="仿宋" w:hAnsi="仿宋" w:eastAsia="仿宋"/>
          <w:b/>
          <w:bCs/>
          <w:spacing w:val="-2"/>
          <w:sz w:val="32"/>
          <w:szCs w:val="32"/>
        </w:rPr>
      </w:pPr>
      <w:r>
        <w:rPr>
          <w:rFonts w:ascii="仿宋" w:hAnsi="仿宋" w:eastAsia="仿宋"/>
          <w:b/>
          <w:bCs/>
          <w:spacing w:val="-2"/>
          <w:sz w:val="32"/>
          <w:szCs w:val="32"/>
        </w:rPr>
        <w:t>专项资金使用情况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atLeast"/>
        <w:ind w:firstLine="632" w:firstLineChars="200"/>
        <w:jc w:val="both"/>
        <w:textAlignment w:val="auto"/>
        <w:rPr>
          <w:rFonts w:ascii="仿宋" w:hAnsi="仿宋" w:eastAsia="仿宋" w:cs="Times New Roman"/>
          <w:spacing w:val="-2"/>
          <w:sz w:val="32"/>
          <w:szCs w:val="32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本年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项目支出5,633.45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万元，投入进度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100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%。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专项资金决算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支出</w:t>
      </w:r>
      <w:r>
        <w:rPr>
          <w:rFonts w:ascii="仿宋" w:hAnsi="仿宋" w:eastAsia="仿宋" w:cs="Times New Roman"/>
          <w:spacing w:val="-2"/>
          <w:sz w:val="32"/>
          <w:szCs w:val="32"/>
        </w:rPr>
        <w:t>具体情况如下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表</w:t>
      </w:r>
      <w:r>
        <w:rPr>
          <w:rFonts w:ascii="仿宋" w:hAnsi="仿宋" w:eastAsia="仿宋" w:cs="Times New Roman"/>
          <w:spacing w:val="-2"/>
          <w:sz w:val="32"/>
          <w:szCs w:val="32"/>
        </w:rPr>
        <w:t>：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atLeast"/>
        <w:rPr>
          <w:rFonts w:ascii="仿宋" w:hAnsi="仿宋" w:eastAsia="仿宋"/>
          <w:spacing w:val="-2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21"/>
          <w:szCs w:val="21"/>
          <w:lang w:val="en-US" w:eastAsia="zh-CN"/>
        </w:rPr>
        <w:t xml:space="preserve">                                                                 单位：万元</w:t>
      </w:r>
    </w:p>
    <w:tbl>
      <w:tblPr>
        <w:tblStyle w:val="5"/>
        <w:tblpPr w:leftFromText="180" w:rightFromText="180" w:vertAnchor="text" w:horzAnchor="page" w:tblpXSpec="center" w:tblpY="642"/>
        <w:tblOverlap w:val="never"/>
        <w:tblW w:w="8756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99"/>
        <w:gridCol w:w="989"/>
        <w:gridCol w:w="966"/>
        <w:gridCol w:w="954"/>
        <w:gridCol w:w="1135"/>
        <w:gridCol w:w="1070"/>
        <w:gridCol w:w="94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5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功能科目分类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上年结余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本年收入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本年实际 支出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本年结余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投入进度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00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一般公共服务支出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408.03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408.03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408.03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15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民政管理事务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154.71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154.71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154.71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行政事业单位养老支出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0.60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0.60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0.60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85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抚恤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1,684.41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1,684.41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1,684.41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儿童福利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198.65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198.65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198.65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殡葬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670.34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670.34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670.34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社会福利事业单位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20.00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20.00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20.00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其他社会福利支出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10.79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10.79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10.79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临时救助支出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7.03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7.03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7.03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流浪乞讨人员救助支出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824.09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824.09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824.09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0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其他社会保障和就业支出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8.00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8.00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8.00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卫生健康支出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22.00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22.00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22.00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0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其他地方自行试点项目收益专项债券收入安排的支出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1,080.00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1,080.00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1,080.00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5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彩票公益金安排的支出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528.90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528.90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528.90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其他支出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0.90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15.00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15.90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15.90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25" w:hRule="atLeast"/>
          <w:jc w:val="center"/>
        </w:trPr>
        <w:tc>
          <w:tcPr>
            <w:tcW w:w="26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9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0.90</w:t>
            </w:r>
          </w:p>
        </w:tc>
        <w:tc>
          <w:tcPr>
            <w:tcW w:w="96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5,632.55</w:t>
            </w:r>
          </w:p>
        </w:tc>
        <w:tc>
          <w:tcPr>
            <w:tcW w:w="9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5,633.45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5,633.45</w:t>
            </w:r>
          </w:p>
        </w:tc>
        <w:tc>
          <w:tcPr>
            <w:tcW w:w="10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firstLine="0" w:firstLineChars="0"/>
              <w:jc w:val="right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</w:tbl>
    <w:p>
      <w:pPr>
        <w:widowControl/>
        <w:numPr>
          <w:ilvl w:val="0"/>
          <w:numId w:val="4"/>
        </w:numPr>
        <w:shd w:val="clear" w:color="auto" w:fill="FFFFFF"/>
        <w:spacing w:line="600" w:lineRule="atLeast"/>
        <w:ind w:left="0" w:leftChars="0" w:firstLine="640" w:firstLineChars="0"/>
        <w:rPr>
          <w:rFonts w:ascii="仿宋" w:hAnsi="仿宋" w:eastAsia="仿宋"/>
          <w:b/>
          <w:bCs/>
          <w:spacing w:val="-2"/>
          <w:sz w:val="32"/>
          <w:szCs w:val="32"/>
        </w:rPr>
      </w:pPr>
      <w:r>
        <w:rPr>
          <w:rFonts w:ascii="仿宋" w:hAnsi="仿宋" w:eastAsia="仿宋"/>
          <w:b/>
          <w:bCs/>
          <w:spacing w:val="-2"/>
          <w:sz w:val="32"/>
          <w:szCs w:val="32"/>
        </w:rPr>
        <w:t>专项资金管理情况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  <w:t>）严格遵循</w:t>
      </w:r>
      <w:r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  <w:t>专项资金</w:t>
      </w: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  <w:t>管理规定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</w:rPr>
        <w:t>根据《会计法》《预算法》《行政单位财务规则》等法律制度和财政部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门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的有关规定，坚持“依法理财、厉行节约、严格审批”的原则，每年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安排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会议专题研究机关预算安排，重大财务支出坚持集体研究、集体决策。在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局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机关财务管理工作中，上述制度规定得到执行。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专项资金管理按照《怀化市本级财政专项资金管理办法》和项目用款支出批复的要求，实行项目单独核算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，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专项资金</w:t>
      </w:r>
      <w:r>
        <w:rPr>
          <w:rFonts w:hint="default" w:ascii="仿宋" w:hAnsi="仿宋" w:eastAsia="仿宋" w:cs="Times New Roman"/>
          <w:spacing w:val="-2"/>
          <w:sz w:val="32"/>
          <w:szCs w:val="32"/>
          <w:lang w:eastAsia="zh-CN"/>
        </w:rPr>
        <w:t>使用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通过财政</w:t>
      </w:r>
      <w:r>
        <w:rPr>
          <w:rFonts w:hint="default" w:ascii="仿宋" w:hAnsi="仿宋" w:eastAsia="仿宋" w:cs="Times New Roman"/>
          <w:spacing w:val="-2"/>
          <w:sz w:val="32"/>
          <w:szCs w:val="32"/>
          <w:lang w:eastAsia="zh-CN"/>
        </w:rPr>
        <w:t>部门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审核由国库</w:t>
      </w:r>
      <w:r>
        <w:rPr>
          <w:rFonts w:hint="default" w:ascii="仿宋" w:hAnsi="仿宋" w:eastAsia="仿宋" w:cs="Times New Roman"/>
          <w:spacing w:val="-2"/>
          <w:sz w:val="32"/>
          <w:szCs w:val="32"/>
          <w:lang w:eastAsia="zh-CN"/>
        </w:rPr>
        <w:t>集中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支付</w:t>
      </w:r>
      <w:r>
        <w:rPr>
          <w:rFonts w:hint="default" w:ascii="仿宋" w:hAnsi="仿宋" w:eastAsia="仿宋" w:cs="Times New Roman"/>
          <w:spacing w:val="-2"/>
          <w:sz w:val="32"/>
          <w:szCs w:val="32"/>
          <w:lang w:eastAsia="zh-CN"/>
        </w:rPr>
        <w:t>核算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，专款专用。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</w:pPr>
      <w:r>
        <w:rPr>
          <w:rFonts w:hint="default" w:ascii="仿宋" w:hAnsi="仿宋" w:eastAsia="仿宋" w:cs="Times New Roman"/>
          <w:b/>
          <w:bCs/>
          <w:spacing w:val="-2"/>
          <w:sz w:val="32"/>
          <w:szCs w:val="32"/>
        </w:rPr>
        <w:t>（2）依法依规进行</w:t>
      </w:r>
      <w:r>
        <w:rPr>
          <w:rFonts w:hint="eastAsia" w:ascii="仿宋" w:hAnsi="仿宋" w:eastAsia="仿宋" w:cs="Times New Roman"/>
          <w:b/>
          <w:bCs/>
          <w:spacing w:val="-2"/>
          <w:sz w:val="32"/>
          <w:szCs w:val="32"/>
          <w:lang w:eastAsia="zh-CN"/>
        </w:rPr>
        <w:t>政府采购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rFonts w:hint="default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spacing w:val="-2"/>
          <w:sz w:val="32"/>
          <w:szCs w:val="32"/>
        </w:rPr>
        <w:t>严格按照政府采购的管理要求依法依规进行项目评审和招投标工作。需要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按要求进行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招投标的项目，按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规定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实施招投标工作；需要定点采购的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项目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，在项目采购过程中，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严格执行政府采购流程，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严格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执行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合同的签订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、项目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验收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及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资金支付的审核审批手续。202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年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度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政府采购支出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283.96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万元，其中货物采购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67.74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,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工程采购20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9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服务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采购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195.32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万元。</w:t>
      </w:r>
    </w:p>
    <w:p>
      <w:pPr>
        <w:widowControl/>
        <w:shd w:val="clear" w:color="auto" w:fill="FFFFFF"/>
        <w:spacing w:line="600" w:lineRule="atLeast"/>
        <w:ind w:firstLine="640"/>
        <w:rPr>
          <w:rFonts w:ascii="楷体" w:hAnsi="楷体" w:eastAsia="楷体"/>
          <w:b/>
          <w:spacing w:val="-2"/>
          <w:sz w:val="32"/>
          <w:szCs w:val="21"/>
        </w:rPr>
      </w:pPr>
      <w:r>
        <w:rPr>
          <w:rFonts w:ascii="楷体" w:hAnsi="楷体" w:eastAsia="楷体"/>
          <w:b/>
          <w:spacing w:val="-2"/>
          <w:sz w:val="32"/>
          <w:szCs w:val="32"/>
        </w:rPr>
        <w:t>三、部门专项组织实施情况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-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-2"/>
          <w:sz w:val="32"/>
          <w:szCs w:val="32"/>
        </w:rPr>
        <w:t>（一）专项组织情况分析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sz w:val="32"/>
          <w:szCs w:val="32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怀化市民政局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在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项目组织管理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上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，严格落实项目法人责任制、招投标制、合同管理、质量监督管理等有关制度。严格按照既定的项目实施方案、验收规程要求及质量的监督管理规定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程序审核项目材料，及时整编完工项目验收资料，认真开展项目验收和财务决算工作。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-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-2"/>
          <w:sz w:val="32"/>
          <w:szCs w:val="32"/>
        </w:rPr>
        <w:t>专项管理情况分析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sz w:val="32"/>
          <w:szCs w:val="32"/>
        </w:rPr>
      </w:pPr>
      <w:r>
        <w:rPr>
          <w:rFonts w:hint="default" w:ascii="仿宋" w:hAnsi="仿宋" w:eastAsia="仿宋" w:cs="Times New Roman"/>
          <w:spacing w:val="-2"/>
          <w:sz w:val="32"/>
          <w:szCs w:val="32"/>
        </w:rPr>
        <w:t>为加强专项项目管理，怀化市民政局就重点专项项目制定了《专项资金管理制度》专项业务管理办法，专项资金的使用、管理严格按制度执行，大额资金开会集体审议，多人审签，确保资金使用公开、公正、科学、高效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、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专款专用、不挤占、挪用、借用或随意调整，资金支付依据和开支标准合法合规，需政府采购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的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项目严格执行政府采购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流程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费用支出报账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按照预算规定的费用项目和用途进行资金使用审核、列报支付、财务核算，杜绝超支现象的发生。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4" w:firstLineChars="200"/>
        <w:jc w:val="both"/>
        <w:textAlignment w:val="auto"/>
        <w:rPr>
          <w:rFonts w:ascii="楷体" w:hAnsi="楷体" w:eastAsia="楷体"/>
          <w:b/>
          <w:spacing w:val="-2"/>
          <w:sz w:val="32"/>
          <w:szCs w:val="21"/>
        </w:rPr>
      </w:pPr>
      <w:r>
        <w:rPr>
          <w:rFonts w:ascii="楷体" w:hAnsi="楷体" w:eastAsia="楷体"/>
          <w:b/>
          <w:spacing w:val="-2"/>
          <w:sz w:val="32"/>
          <w:szCs w:val="32"/>
        </w:rPr>
        <w:t>四、资产管理情况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jc w:val="both"/>
        <w:textAlignment w:val="auto"/>
        <w:rPr>
          <w:rFonts w:hint="eastAsia" w:eastAsia="仿宋"/>
          <w:sz w:val="32"/>
          <w:szCs w:val="32"/>
          <w:lang w:eastAsia="zh-CN"/>
        </w:rPr>
      </w:pPr>
      <w:r>
        <w:rPr>
          <w:rFonts w:hint="default" w:ascii="仿宋" w:hAnsi="仿宋" w:eastAsia="仿宋" w:cs="Times New Roman"/>
          <w:spacing w:val="-2"/>
          <w:sz w:val="32"/>
          <w:szCs w:val="32"/>
        </w:rPr>
        <w:t>怀化市民政局制定了详细的内部管理制度，所有资产统一采购、集中处置、严格追责，有效防止了国有资产流失。固定资产建立了固定资产卡片和台账，责任到人，确保资产账账相符、账实相符。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新增及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报废固定资产按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行政事业单位国有资产的管理规定程序</w:t>
      </w:r>
      <w:r>
        <w:rPr>
          <w:rFonts w:hint="default" w:ascii="仿宋" w:hAnsi="仿宋" w:eastAsia="仿宋" w:cs="Times New Roman"/>
          <w:spacing w:val="-2"/>
          <w:sz w:val="32"/>
          <w:szCs w:val="32"/>
        </w:rPr>
        <w:t>进行处理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。</w:t>
      </w:r>
    </w:p>
    <w:p>
      <w:pPr>
        <w:widowControl/>
        <w:shd w:val="clear" w:color="auto" w:fill="FFFFFF"/>
        <w:spacing w:line="600" w:lineRule="atLeast"/>
        <w:ind w:firstLine="634" w:firstLineChars="200"/>
        <w:rPr>
          <w:rFonts w:ascii="楷体" w:hAnsi="楷体" w:eastAsia="楷体"/>
          <w:b/>
          <w:spacing w:val="-2"/>
          <w:sz w:val="32"/>
          <w:szCs w:val="21"/>
        </w:rPr>
      </w:pPr>
      <w:r>
        <w:rPr>
          <w:rFonts w:ascii="楷体" w:hAnsi="楷体" w:eastAsia="楷体"/>
          <w:b/>
          <w:spacing w:val="-2"/>
          <w:sz w:val="32"/>
          <w:szCs w:val="32"/>
        </w:rPr>
        <w:t>五、部门整体支出绩效情况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2022年，怀化市民政局认真落实市委、市政府决策部署，全面推进各项重点工作，较好地完成了各项目标任务。根据《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部门整体支出绩效评价共性指标表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》评分，得分94分，财政支出绩效为“优”。主要绩效如下：</w:t>
      </w:r>
    </w:p>
    <w:p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34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-2"/>
          <w:kern w:val="2"/>
          <w:sz w:val="32"/>
          <w:szCs w:val="32"/>
          <w:lang w:val="en-US" w:eastAsia="zh-CN" w:bidi="ar-SA"/>
        </w:rPr>
        <w:t>经济性分析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2022年预算配置控制较好，预算项目资金全部投入项目之中无结余。预算执行方面，支出总额控制在预算总额以内，投入进度正常，“三公经费”总体控制较好，未超本年预算。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22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年度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市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民政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局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部门预算公共财政预算资金安排“三公”经费预算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106.30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万元，实际支出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21.69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万元，“三公”经费控制率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20.40%，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“三公”经费较上年减少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22.85万元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。公用经费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全年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预算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773.38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万元，公用经费决算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771.19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万元，公用经费控制率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u w:val="none"/>
          <w:lang w:val="en-US" w:eastAsia="zh-CN" w:bidi="ar-SA"/>
        </w:rPr>
        <w:t>99.72%。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left="0"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为切实贯彻例行节约反对浪费条例，采取一系列措施，加强了对经费支出的严格控制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费用支出做到事前申报，按审批流程审批，按相关开支标准执行，较好的落实了厉行节约精神。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rightChars="0" w:firstLine="634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-2"/>
          <w:kern w:val="2"/>
          <w:sz w:val="32"/>
          <w:szCs w:val="32"/>
          <w:lang w:val="en-US" w:eastAsia="zh-CN" w:bidi="ar-SA"/>
        </w:rPr>
        <w:t>（二）效率性分析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22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年度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怀化市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民政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局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工作完成情况较好，基本完成年度工作任务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，项目验收合格率达到既定目标100%。推动一件事一次办，大大提高了行政效率，获得了群众的好评。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全年累计发放低保资金5.17亿元、特困供养资金2.03亿元、残疾人两项补贴9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,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413.5万元；走访慰问低保、特困人员等特殊困难群众4万余人次。引导行业协会商会减免会费近216.42万元；开展“夏日送清凉”“寒冬送温暖”专项行动，累计救助流浪乞讨人员5299人次、落户安置51人、帮助105人通过寻亲救助回归家庭；婚姻登记实现“全省通办”，残疾人两项补贴资格认定申请实现“全程网办”和“跨省通办”，为498名困难残疾人配备康复辅具。“怀化扬州慈善励志班”作为全省慈善项目推荐对象参评第十二届“中华慈善奖”，福利彩票实现销售总量和增长幅度指标“双超额”，销售总量达3.578亿元，全省排名第四，增长幅度达6.8%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left="0" w:right="0" w:firstLine="634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-2"/>
          <w:kern w:val="2"/>
          <w:sz w:val="32"/>
          <w:szCs w:val="32"/>
          <w:lang w:val="en-US" w:eastAsia="zh-CN" w:bidi="ar-SA"/>
        </w:rPr>
        <w:t>（三）有效性分析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（1）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加快建立居家社区养老机构相协调、医养康养相结合的养老服务体系，规范培育老龄产业新的增长点，全力申报全国第二批居家和社区基本养老服务提升行动项目。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（2）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大力实施兜底线工程、养老工程等国家重点支持项目，加快推进市第二福利院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建设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及市殡仪馆前期建设等重点民生项目。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（3）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稳步提高城乡低保、特困供养、孤儿、残疾人等困难群体保障标准，深化社会救助制度改革，推动从“精准救助”向“主动救助”转变。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（4）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加快推行“智慧养老”“智慧门牌”“智慧救助”，推进民政办事服务“网上办”“掌上办”，实现全市一体化智慧平台资源共享。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（5）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推动基层社工站和社会工作服务提质增效，引导社会组织、社会工作者、志愿者积极参与社会治理。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（6）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突出发挥慈善事业第三次分配作用，大力开发福彩第二赛道，稳步推进福彩销售，推进慈善超市建设，在全市范围内打造一批有影响力的慈善救助项目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（7）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强化干部队伍素质培养、业务修养，加强社工、养老、等高素质专业化人才队伍建设。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left="0" w:right="0" w:firstLine="634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spacing w:val="-2"/>
          <w:kern w:val="2"/>
          <w:sz w:val="32"/>
          <w:szCs w:val="32"/>
          <w:lang w:val="en-US" w:eastAsia="zh-CN" w:bidi="ar-SA"/>
        </w:rPr>
        <w:t>（四）可持续性分析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我局预算安排的基本支出保障了我局正常的工作运转，体现了市委市政府对民政工作的关心和重视，我局坚持以人民为中心，践行“民政为民，民政爱民”工作理理念，紧扣高质量发展目标，不断推进全市民政事业发展，同时在民政资金的管理和使用上，严守法律底线、道德底线，体现了政策导向，长期保障工作平稳进行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具有发展的可持续性。</w:t>
      </w:r>
    </w:p>
    <w:p>
      <w:pPr>
        <w:widowControl/>
        <w:shd w:val="clear" w:color="auto" w:fill="FFFFFF"/>
        <w:spacing w:line="600" w:lineRule="atLeast"/>
        <w:ind w:firstLine="640"/>
        <w:rPr>
          <w:rFonts w:ascii="楷体" w:hAnsi="楷体" w:eastAsia="楷体"/>
          <w:b/>
          <w:spacing w:val="-2"/>
          <w:sz w:val="32"/>
          <w:szCs w:val="21"/>
        </w:rPr>
      </w:pPr>
      <w:r>
        <w:rPr>
          <w:rFonts w:ascii="楷体" w:hAnsi="楷体" w:eastAsia="楷体"/>
          <w:b/>
          <w:spacing w:val="-2"/>
          <w:sz w:val="32"/>
          <w:szCs w:val="32"/>
        </w:rPr>
        <w:t>六、存在的主要问题</w:t>
      </w:r>
    </w:p>
    <w:p>
      <w:pPr>
        <w:widowControl/>
        <w:shd w:val="clear" w:color="auto" w:fill="FFFFFF"/>
        <w:spacing w:line="600" w:lineRule="atLeas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绩效指标设置不够完善，年初未能对绩效目标与指标进行统筹设置，产出性指标量化值设置不完善，且缺少可量化的社会经济效益指标。</w:t>
      </w:r>
    </w:p>
    <w:p>
      <w:pPr>
        <w:widowControl/>
        <w:shd w:val="clear" w:color="auto" w:fill="FFFFFF"/>
        <w:spacing w:line="600" w:lineRule="atLeast"/>
        <w:ind w:firstLine="640"/>
        <w:rPr>
          <w:rFonts w:ascii="楷体" w:hAnsi="楷体" w:eastAsia="楷体"/>
          <w:b/>
          <w:spacing w:val="-2"/>
          <w:sz w:val="32"/>
          <w:szCs w:val="21"/>
        </w:rPr>
      </w:pPr>
      <w:r>
        <w:rPr>
          <w:rFonts w:ascii="楷体" w:hAnsi="楷体" w:eastAsia="楷体"/>
          <w:b/>
          <w:spacing w:val="-2"/>
          <w:sz w:val="32"/>
          <w:szCs w:val="32"/>
        </w:rPr>
        <w:t>七、改进措施和有关建议</w:t>
      </w:r>
    </w:p>
    <w:p>
      <w:pPr>
        <w:widowControl/>
        <w:shd w:val="clear" w:color="auto" w:fill="FFFFFF"/>
        <w:spacing w:line="600" w:lineRule="atLeast"/>
        <w:ind w:firstLine="64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加强预算管理学习，提高绩效目标编制质量。在明确绩效目标设置依据及方法的基础上，对项目实施内容及成果的预期使用效果进行梳理，完成目标设定，目标设定既要有可操作性又要有前瞻性，对产出和效益指标要尽可能量化，提升绩效目标的可考核性和可实现性;提升预算绩效管理意识，把绩效评价作为各级各部门的日常性工作，建立绩效评价管理工作考核的长效机制，对项目产出效益数据要进行采集或收集并归档保存，项目完成后应及时开展项目自评，确保项目预期产出效益能够达成。</w:t>
      </w:r>
    </w:p>
    <w:p>
      <w:pPr>
        <w:widowControl/>
        <w:shd w:val="clear" w:color="auto" w:fill="FFFFFF"/>
        <w:spacing w:line="600" w:lineRule="atLeas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left="0" w:right="0" w:firstLine="640" w:firstLineChars="200"/>
        <w:jc w:val="both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left="0" w:right="0" w:firstLine="632" w:firstLineChars="200"/>
        <w:jc w:val="center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 xml:space="preserve">                                 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怀化市民政局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600" w:lineRule="atLeast"/>
        <w:ind w:right="0" w:firstLine="632" w:firstLineChars="200"/>
        <w:jc w:val="right"/>
        <w:textAlignment w:val="auto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年6月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29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日</w:t>
      </w:r>
    </w:p>
    <w:p>
      <w:pPr>
        <w:widowControl/>
        <w:shd w:val="clear" w:color="auto" w:fill="FFFFFF"/>
        <w:spacing w:line="600" w:lineRule="atLeast"/>
        <w:ind w:firstLine="640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AE8759"/>
    <w:multiLevelType w:val="singleLevel"/>
    <w:tmpl w:val="9AAE875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F38DA10"/>
    <w:multiLevelType w:val="singleLevel"/>
    <w:tmpl w:val="AF38DA10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E3D30FD"/>
    <w:multiLevelType w:val="singleLevel"/>
    <w:tmpl w:val="1E3D30F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39B48212"/>
    <w:multiLevelType w:val="singleLevel"/>
    <w:tmpl w:val="39B48212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3F0A1B5B"/>
    <w:multiLevelType w:val="singleLevel"/>
    <w:tmpl w:val="3F0A1B5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6F85CF23"/>
    <w:multiLevelType w:val="singleLevel"/>
    <w:tmpl w:val="6F85CF2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FF8F5C"/>
    <w:rsid w:val="BBFF8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unhideWhenUsed/>
    <w:qFormat/>
    <w:uiPriority w:val="99"/>
    <w:pPr>
      <w:ind w:left="1680"/>
    </w:pPr>
    <w:rPr>
      <w:rFonts w:ascii="Calibri" w:hAnsi="Calibri" w:eastAsia="宋体" w:cs="Times New Roman"/>
      <w:szCs w:val="22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2024-10-11T18:11:00Z</dcterms:created>
  <dc:creator>greatwall</dc:creator>
  <cp:lastModifiedBy>greatwall</cp:lastModifiedBy>
  <dcterms:modified xsi:type="dcterms:W3CDTF">2024-10-11T18:13:01Z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